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08" w:rsidRDefault="00335C17" w:rsidP="00CE35B4">
      <w:pPr>
        <w:spacing w:after="240"/>
        <w:jc w:val="center"/>
        <w:rPr>
          <w:rFonts w:ascii="Arial" w:hAnsi="Arial" w:cs="Arial"/>
          <w:b/>
          <w:bCs/>
          <w:sz w:val="20"/>
          <w:szCs w:val="20"/>
          <w:lang w:val="en-US"/>
        </w:rPr>
      </w:pPr>
      <w:bookmarkStart w:id="0" w:name="_GoBack"/>
      <w:bookmarkEnd w:id="0"/>
      <w:r>
        <w:rPr>
          <w:rFonts w:ascii="Arial" w:hAnsi="Arial" w:cs="Arial"/>
          <w:b/>
          <w:bCs/>
          <w:sz w:val="20"/>
          <w:szCs w:val="20"/>
          <w:lang w:val="en-US"/>
        </w:rPr>
        <w:t xml:space="preserve">INFORMATION SHEET RELATING TO THE </w:t>
      </w:r>
      <w:r w:rsidRPr="00AA3008">
        <w:rPr>
          <w:rFonts w:ascii="Arial" w:hAnsi="Arial" w:cs="Arial"/>
          <w:b/>
          <w:bCs/>
          <w:sz w:val="20"/>
          <w:szCs w:val="20"/>
          <w:lang w:val="en-US"/>
        </w:rPr>
        <w:t>£</w:t>
      </w:r>
      <w:r w:rsidRPr="00AA3008">
        <w:rPr>
          <w:rFonts w:ascii="Arial" w:hAnsi="Arial" w:cs="Arial"/>
          <w:sz w:val="20"/>
          <w:szCs w:val="20"/>
          <w:lang w:val="en-US"/>
        </w:rPr>
        <w:t>[</w:t>
      </w:r>
      <w:r w:rsidRPr="00AA3008">
        <w:rPr>
          <w:rFonts w:ascii="Arial" w:hAnsi="Arial" w:cs="Arial"/>
          <w:b/>
          <w:bCs/>
          <w:i/>
          <w:sz w:val="20"/>
          <w:szCs w:val="20"/>
          <w:lang w:val="en-US"/>
        </w:rPr>
        <w:t>AMOUNT</w:t>
      </w:r>
      <w:r w:rsidRPr="00AA3008">
        <w:rPr>
          <w:rFonts w:ascii="Arial" w:hAnsi="Arial" w:cs="Arial"/>
          <w:sz w:val="20"/>
          <w:szCs w:val="20"/>
          <w:lang w:val="en-US"/>
        </w:rPr>
        <w:t>]</w:t>
      </w:r>
      <w:r w:rsidRPr="00AA3008">
        <w:rPr>
          <w:rFonts w:ascii="Arial" w:hAnsi="Arial" w:cs="Arial"/>
          <w:b/>
          <w:bCs/>
          <w:sz w:val="20"/>
          <w:szCs w:val="20"/>
          <w:lang w:val="en-US"/>
        </w:rPr>
        <w:t xml:space="preserve"> EURO-COMMERCIAL PAPER PROGRAMME</w:t>
      </w:r>
      <w:r>
        <w:rPr>
          <w:rFonts w:ascii="Arial" w:hAnsi="Arial" w:cs="Arial"/>
          <w:b/>
          <w:bCs/>
          <w:sz w:val="20"/>
          <w:szCs w:val="20"/>
          <w:lang w:val="en-US"/>
        </w:rPr>
        <w:t xml:space="preserve"> OF [</w:t>
      </w:r>
      <w:r>
        <w:rPr>
          <w:rFonts w:ascii="Arial" w:hAnsi="Arial" w:cs="Arial"/>
          <w:b/>
          <w:bCs/>
          <w:i/>
          <w:sz w:val="20"/>
          <w:szCs w:val="20"/>
          <w:lang w:val="en-US"/>
        </w:rPr>
        <w:t>ISSUER</w:t>
      </w:r>
      <w:r>
        <w:rPr>
          <w:rFonts w:ascii="Arial" w:hAnsi="Arial" w:cs="Arial"/>
          <w:b/>
          <w:bCs/>
          <w:sz w:val="20"/>
          <w:szCs w:val="20"/>
          <w:lang w:val="en-US"/>
        </w:rPr>
        <w:t>]</w:t>
      </w:r>
    </w:p>
    <w:p w:rsidR="00120519" w:rsidRPr="00AA3008" w:rsidRDefault="00757C5F" w:rsidP="00CE35B4">
      <w:pPr>
        <w:spacing w:after="240"/>
        <w:jc w:val="center"/>
        <w:rPr>
          <w:rFonts w:ascii="Arial" w:hAnsi="Arial" w:cs="Arial"/>
          <w:b/>
          <w:bCs/>
          <w:sz w:val="20"/>
          <w:szCs w:val="20"/>
          <w:lang w:val="en-US"/>
        </w:rPr>
      </w:pPr>
    </w:p>
    <w:p w:rsidR="00E707B8" w:rsidRPr="00AA3008" w:rsidRDefault="00335C17" w:rsidP="0060322E">
      <w:pPr>
        <w:spacing w:after="240"/>
        <w:jc w:val="center"/>
        <w:rPr>
          <w:rFonts w:ascii="Arial" w:hAnsi="Arial" w:cs="Arial"/>
          <w:sz w:val="20"/>
          <w:szCs w:val="20"/>
        </w:rPr>
      </w:pPr>
      <w:r w:rsidRPr="00AA3008">
        <w:rPr>
          <w:rFonts w:ascii="Arial" w:hAnsi="Arial" w:cs="Arial"/>
          <w:b/>
          <w:bCs/>
          <w:sz w:val="20"/>
          <w:szCs w:val="20"/>
          <w:lang w:val="en-US"/>
        </w:rPr>
        <w:t>TERMS AND CONDITIONS</w:t>
      </w:r>
    </w:p>
    <w:tbl>
      <w:tblPr>
        <w:tblStyle w:val="TableGrid"/>
        <w:tblW w:w="85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39"/>
        <w:gridCol w:w="12"/>
        <w:gridCol w:w="6580"/>
      </w:tblGrid>
      <w:tr w:rsidR="000323B1" w:rsidTr="00736BCB">
        <w:tc>
          <w:tcPr>
            <w:tcW w:w="1951" w:type="dxa"/>
            <w:gridSpan w:val="2"/>
          </w:tcPr>
          <w:p w:rsidR="00CE35B4"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Issuer:</w:t>
            </w:r>
            <w:r w:rsidRPr="00AA3008">
              <w:rPr>
                <w:rFonts w:ascii="Arial" w:hAnsi="Arial" w:cs="Arial"/>
                <w:b/>
                <w:bCs/>
                <w:sz w:val="20"/>
                <w:szCs w:val="20"/>
                <w:lang w:val="en-US"/>
              </w:rPr>
              <w:tab/>
            </w:r>
          </w:p>
        </w:tc>
        <w:tc>
          <w:tcPr>
            <w:tcW w:w="6580" w:type="dxa"/>
          </w:tcPr>
          <w:p w:rsidR="00CE35B4" w:rsidRPr="00AA3008" w:rsidRDefault="00335C17" w:rsidP="00AA3008">
            <w:pPr>
              <w:spacing w:after="240"/>
              <w:rPr>
                <w:rFonts w:ascii="Arial" w:hAnsi="Arial" w:cs="Arial"/>
                <w:b/>
                <w:bCs/>
                <w:sz w:val="20"/>
                <w:szCs w:val="20"/>
                <w:lang w:val="en-US"/>
              </w:rPr>
            </w:pPr>
            <w:r w:rsidRPr="00AA3008">
              <w:rPr>
                <w:rFonts w:ascii="Arial" w:hAnsi="Arial" w:cs="Arial"/>
                <w:sz w:val="20"/>
                <w:szCs w:val="20"/>
                <w:lang w:val="en-US"/>
              </w:rPr>
              <w:t>[</w:t>
            </w:r>
            <w:r>
              <w:rPr>
                <w:rFonts w:ascii="Arial" w:hAnsi="Arial" w:cs="Arial"/>
                <w:sz w:val="20"/>
                <w:szCs w:val="20"/>
                <w:lang w:val="en-US"/>
              </w:rPr>
              <w:t>●</w:t>
            </w:r>
            <w:r w:rsidRPr="00AA3008">
              <w:rPr>
                <w:rFonts w:ascii="Arial" w:hAnsi="Arial" w:cs="Arial"/>
                <w:sz w:val="20"/>
                <w:szCs w:val="20"/>
                <w:lang w:val="en-US"/>
              </w:rPr>
              <w:t>]</w:t>
            </w:r>
          </w:p>
        </w:tc>
      </w:tr>
      <w:tr w:rsidR="000323B1" w:rsidTr="00736BCB">
        <w:tc>
          <w:tcPr>
            <w:tcW w:w="1951" w:type="dxa"/>
            <w:gridSpan w:val="2"/>
          </w:tcPr>
          <w:p w:rsidR="00CE35B4" w:rsidRPr="00AA3008" w:rsidRDefault="00335C17" w:rsidP="00FC28C1">
            <w:pPr>
              <w:spacing w:after="240"/>
              <w:rPr>
                <w:rFonts w:ascii="Arial" w:hAnsi="Arial" w:cs="Arial"/>
                <w:b/>
                <w:bCs/>
                <w:sz w:val="20"/>
                <w:szCs w:val="20"/>
                <w:lang w:val="en-US"/>
              </w:rPr>
            </w:pPr>
            <w:r w:rsidRPr="00AA3008">
              <w:rPr>
                <w:rFonts w:ascii="Arial" w:hAnsi="Arial" w:cs="Arial"/>
                <w:sz w:val="20"/>
                <w:szCs w:val="20"/>
                <w:lang w:val="en-US"/>
              </w:rPr>
              <w:t>[</w:t>
            </w:r>
            <w:r w:rsidRPr="00AA3008">
              <w:rPr>
                <w:rFonts w:ascii="Arial" w:hAnsi="Arial" w:cs="Arial"/>
                <w:b/>
                <w:bCs/>
                <w:sz w:val="20"/>
                <w:szCs w:val="20"/>
                <w:lang w:val="en-US"/>
              </w:rPr>
              <w:t>Guarantor:</w:t>
            </w:r>
          </w:p>
        </w:tc>
        <w:tc>
          <w:tcPr>
            <w:tcW w:w="6580" w:type="dxa"/>
          </w:tcPr>
          <w:p w:rsidR="00CE35B4" w:rsidRPr="00AA3008" w:rsidRDefault="00335C17" w:rsidP="00FC28C1">
            <w:pPr>
              <w:spacing w:after="240"/>
              <w:rPr>
                <w:rFonts w:ascii="Arial" w:hAnsi="Arial" w:cs="Arial"/>
                <w:b/>
                <w:bCs/>
                <w:sz w:val="20"/>
                <w:szCs w:val="20"/>
                <w:lang w:val="en-US"/>
              </w:rPr>
            </w:pPr>
            <w:r w:rsidRPr="00AA3008">
              <w:rPr>
                <w:rFonts w:ascii="Arial" w:hAnsi="Arial" w:cs="Arial"/>
                <w:sz w:val="20"/>
                <w:szCs w:val="20"/>
                <w:lang w:val="en-US"/>
              </w:rPr>
              <w:t>[</w:t>
            </w:r>
            <w:r>
              <w:rPr>
                <w:rFonts w:ascii="Arial" w:hAnsi="Arial" w:cs="Arial"/>
                <w:sz w:val="20"/>
                <w:szCs w:val="20"/>
                <w:lang w:val="en-US"/>
              </w:rPr>
              <w:t>●</w:t>
            </w:r>
            <w:r w:rsidRPr="00AA3008">
              <w:rPr>
                <w:rFonts w:ascii="Arial" w:hAnsi="Arial" w:cs="Arial"/>
                <w:sz w:val="20"/>
                <w:szCs w:val="20"/>
                <w:lang w:val="en-US"/>
              </w:rPr>
              <w:t>]]</w:t>
            </w:r>
          </w:p>
        </w:tc>
      </w:tr>
      <w:tr w:rsidR="000323B1" w:rsidTr="00736BCB">
        <w:tc>
          <w:tcPr>
            <w:tcW w:w="1951" w:type="dxa"/>
            <w:gridSpan w:val="2"/>
          </w:tcPr>
          <w:p w:rsidR="00CE35B4"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Arranger:</w:t>
            </w:r>
          </w:p>
        </w:tc>
        <w:tc>
          <w:tcPr>
            <w:tcW w:w="6580" w:type="dxa"/>
          </w:tcPr>
          <w:p w:rsidR="00CE35B4" w:rsidRPr="00AA3008" w:rsidRDefault="00335C17" w:rsidP="00FC28C1">
            <w:pPr>
              <w:spacing w:after="240"/>
              <w:rPr>
                <w:rFonts w:ascii="Arial" w:hAnsi="Arial" w:cs="Arial"/>
                <w:b/>
                <w:bCs/>
                <w:sz w:val="20"/>
                <w:szCs w:val="20"/>
                <w:lang w:val="en-US"/>
              </w:rPr>
            </w:pPr>
            <w:r w:rsidRPr="00AA3008">
              <w:rPr>
                <w:rFonts w:ascii="Arial" w:hAnsi="Arial" w:cs="Arial"/>
                <w:sz w:val="20"/>
                <w:szCs w:val="20"/>
                <w:lang w:val="en-US"/>
              </w:rPr>
              <w:t>[</w:t>
            </w:r>
            <w:r>
              <w:rPr>
                <w:rFonts w:ascii="Arial" w:hAnsi="Arial" w:cs="Arial"/>
                <w:sz w:val="20"/>
                <w:szCs w:val="20"/>
                <w:lang w:val="en-US"/>
              </w:rPr>
              <w:t>●</w:t>
            </w:r>
            <w:r w:rsidRPr="00AA3008">
              <w:rPr>
                <w:rFonts w:ascii="Arial" w:hAnsi="Arial" w:cs="Arial"/>
                <w:sz w:val="20"/>
                <w:szCs w:val="20"/>
                <w:lang w:val="en-US"/>
              </w:rPr>
              <w:t>]</w:t>
            </w:r>
          </w:p>
        </w:tc>
      </w:tr>
      <w:tr w:rsidR="000323B1" w:rsidTr="00736BCB">
        <w:tc>
          <w:tcPr>
            <w:tcW w:w="1951" w:type="dxa"/>
            <w:gridSpan w:val="2"/>
          </w:tcPr>
          <w:p w:rsidR="00CE35B4"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Dealer</w:t>
            </w:r>
            <w:r>
              <w:rPr>
                <w:rFonts w:ascii="Arial" w:hAnsi="Arial" w:cs="Arial"/>
                <w:b/>
                <w:bCs/>
                <w:sz w:val="20"/>
                <w:szCs w:val="20"/>
                <w:lang w:val="en-US"/>
              </w:rPr>
              <w:t>(</w:t>
            </w:r>
            <w:r w:rsidRPr="00AA3008">
              <w:rPr>
                <w:rFonts w:ascii="Arial" w:hAnsi="Arial" w:cs="Arial"/>
                <w:b/>
                <w:bCs/>
                <w:sz w:val="20"/>
                <w:szCs w:val="20"/>
                <w:lang w:val="en-US"/>
              </w:rPr>
              <w:t>s</w:t>
            </w:r>
            <w:r>
              <w:rPr>
                <w:rFonts w:ascii="Arial" w:hAnsi="Arial" w:cs="Arial"/>
                <w:b/>
                <w:bCs/>
                <w:sz w:val="20"/>
                <w:szCs w:val="20"/>
                <w:lang w:val="en-US"/>
              </w:rPr>
              <w:t>)</w:t>
            </w:r>
            <w:r w:rsidRPr="00AA3008">
              <w:rPr>
                <w:rFonts w:ascii="Arial" w:hAnsi="Arial" w:cs="Arial"/>
                <w:b/>
                <w:bCs/>
                <w:sz w:val="20"/>
                <w:szCs w:val="20"/>
                <w:lang w:val="en-US"/>
              </w:rPr>
              <w:t>:</w:t>
            </w:r>
          </w:p>
        </w:tc>
        <w:tc>
          <w:tcPr>
            <w:tcW w:w="6580" w:type="dxa"/>
          </w:tcPr>
          <w:p w:rsidR="00CE35B4" w:rsidRPr="00AA3008" w:rsidRDefault="00335C17" w:rsidP="00FC28C1">
            <w:pPr>
              <w:spacing w:after="240"/>
              <w:rPr>
                <w:rFonts w:ascii="Arial" w:hAnsi="Arial" w:cs="Arial"/>
                <w:b/>
                <w:bCs/>
                <w:sz w:val="20"/>
                <w:szCs w:val="20"/>
                <w:lang w:val="en-US"/>
              </w:rPr>
            </w:pPr>
            <w:r w:rsidRPr="00AA3008">
              <w:rPr>
                <w:rFonts w:ascii="Arial" w:hAnsi="Arial" w:cs="Arial"/>
                <w:sz w:val="20"/>
                <w:szCs w:val="20"/>
                <w:lang w:val="en-US"/>
              </w:rPr>
              <w:t>[</w:t>
            </w:r>
            <w:r>
              <w:rPr>
                <w:rFonts w:ascii="Arial" w:hAnsi="Arial" w:cs="Arial"/>
                <w:sz w:val="20"/>
                <w:szCs w:val="20"/>
                <w:lang w:val="en-US"/>
              </w:rPr>
              <w:t>●</w:t>
            </w:r>
            <w:r w:rsidRPr="00AA3008">
              <w:rPr>
                <w:rFonts w:ascii="Arial" w:hAnsi="Arial" w:cs="Arial"/>
                <w:sz w:val="20"/>
                <w:szCs w:val="20"/>
                <w:lang w:val="en-US"/>
              </w:rPr>
              <w:t>]</w:t>
            </w:r>
          </w:p>
        </w:tc>
      </w:tr>
      <w:tr w:rsidR="000323B1" w:rsidTr="00736BCB">
        <w:tc>
          <w:tcPr>
            <w:tcW w:w="1951" w:type="dxa"/>
            <w:gridSpan w:val="2"/>
          </w:tcPr>
          <w:p w:rsidR="00CE35B4"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Issue and Paying Agent:</w:t>
            </w:r>
            <w:r w:rsidRPr="00AA3008">
              <w:rPr>
                <w:rFonts w:ascii="Arial" w:hAnsi="Arial" w:cs="Arial"/>
                <w:b/>
                <w:bCs/>
                <w:sz w:val="20"/>
                <w:szCs w:val="20"/>
                <w:lang w:val="en-US"/>
              </w:rPr>
              <w:tab/>
            </w:r>
          </w:p>
        </w:tc>
        <w:tc>
          <w:tcPr>
            <w:tcW w:w="6580" w:type="dxa"/>
          </w:tcPr>
          <w:p w:rsidR="00CE35B4" w:rsidRPr="00AA3008" w:rsidRDefault="00335C17" w:rsidP="00FC28C1">
            <w:pPr>
              <w:spacing w:after="240"/>
              <w:rPr>
                <w:rFonts w:ascii="Arial" w:hAnsi="Arial" w:cs="Arial"/>
                <w:b/>
                <w:bCs/>
                <w:sz w:val="20"/>
                <w:szCs w:val="20"/>
                <w:lang w:val="en-US"/>
              </w:rPr>
            </w:pPr>
            <w:r w:rsidRPr="00AA3008">
              <w:rPr>
                <w:rFonts w:ascii="Arial" w:hAnsi="Arial" w:cs="Arial"/>
                <w:sz w:val="20"/>
                <w:szCs w:val="20"/>
                <w:lang w:val="en-US"/>
              </w:rPr>
              <w:t>[</w:t>
            </w:r>
            <w:r>
              <w:rPr>
                <w:rFonts w:ascii="Arial" w:hAnsi="Arial" w:cs="Arial"/>
                <w:sz w:val="20"/>
                <w:szCs w:val="20"/>
                <w:lang w:val="en-US"/>
              </w:rPr>
              <w:t>●</w:t>
            </w:r>
            <w:r w:rsidRPr="00AA3008">
              <w:rPr>
                <w:rFonts w:ascii="Arial" w:hAnsi="Arial" w:cs="Arial"/>
                <w:sz w:val="20"/>
                <w:szCs w:val="20"/>
                <w:lang w:val="en-US"/>
              </w:rPr>
              <w:t>]</w:t>
            </w:r>
          </w:p>
        </w:tc>
      </w:tr>
      <w:tr w:rsidR="000323B1" w:rsidTr="00736BCB">
        <w:tc>
          <w:tcPr>
            <w:tcW w:w="1951" w:type="dxa"/>
            <w:gridSpan w:val="2"/>
          </w:tcPr>
          <w:p w:rsidR="001B14E5" w:rsidRPr="00AA3008" w:rsidRDefault="00335C17" w:rsidP="00FC28C1">
            <w:pPr>
              <w:rPr>
                <w:rFonts w:ascii="Arial" w:hAnsi="Arial" w:cs="Arial"/>
                <w:b/>
                <w:bCs/>
                <w:sz w:val="20"/>
                <w:szCs w:val="20"/>
                <w:lang w:val="en-US"/>
              </w:rPr>
            </w:pPr>
            <w:r w:rsidRPr="00AA3008">
              <w:rPr>
                <w:rFonts w:ascii="Arial" w:hAnsi="Arial" w:cs="Arial"/>
                <w:b/>
                <w:bCs/>
                <w:sz w:val="20"/>
                <w:szCs w:val="20"/>
                <w:lang w:val="en-US"/>
              </w:rPr>
              <w:t>Maximum</w:t>
            </w:r>
          </w:p>
          <w:p w:rsidR="001B14E5" w:rsidRPr="00AA3008" w:rsidRDefault="00335C17" w:rsidP="00FC28C1">
            <w:pPr>
              <w:rPr>
                <w:rFonts w:ascii="Arial" w:hAnsi="Arial" w:cs="Arial"/>
                <w:b/>
                <w:bCs/>
                <w:sz w:val="20"/>
                <w:szCs w:val="20"/>
                <w:lang w:val="en-US"/>
              </w:rPr>
            </w:pPr>
            <w:r w:rsidRPr="00AA3008">
              <w:rPr>
                <w:rFonts w:ascii="Arial" w:hAnsi="Arial" w:cs="Arial"/>
                <w:b/>
                <w:bCs/>
                <w:sz w:val="20"/>
                <w:szCs w:val="20"/>
                <w:lang w:val="en-US"/>
              </w:rPr>
              <w:t xml:space="preserve">Amount of the </w:t>
            </w:r>
          </w:p>
          <w:p w:rsidR="0031534F" w:rsidRPr="00AA3008" w:rsidRDefault="00335C17" w:rsidP="00FC28C1">
            <w:pPr>
              <w:rPr>
                <w:rFonts w:ascii="Arial" w:hAnsi="Arial" w:cs="Arial"/>
                <w:sz w:val="20"/>
                <w:szCs w:val="20"/>
              </w:rPr>
            </w:pPr>
            <w:r w:rsidRPr="00AA3008">
              <w:rPr>
                <w:rFonts w:ascii="Arial" w:hAnsi="Arial" w:cs="Arial"/>
                <w:b/>
                <w:bCs/>
                <w:sz w:val="20"/>
                <w:szCs w:val="20"/>
                <w:lang w:val="en-US"/>
              </w:rPr>
              <w:t>Programme:</w:t>
            </w:r>
          </w:p>
        </w:tc>
        <w:tc>
          <w:tcPr>
            <w:tcW w:w="6580" w:type="dxa"/>
          </w:tcPr>
          <w:p w:rsidR="0031534F" w:rsidRPr="00AA3008" w:rsidRDefault="00335C17" w:rsidP="00120519">
            <w:pPr>
              <w:spacing w:after="240"/>
              <w:jc w:val="both"/>
              <w:rPr>
                <w:rFonts w:ascii="Arial" w:hAnsi="Arial" w:cs="Arial"/>
                <w:sz w:val="20"/>
                <w:szCs w:val="20"/>
              </w:rPr>
            </w:pPr>
            <w:r w:rsidRPr="00AA3008">
              <w:rPr>
                <w:rFonts w:ascii="Arial" w:hAnsi="Arial" w:cs="Arial"/>
                <w:sz w:val="20"/>
                <w:szCs w:val="20"/>
                <w:lang w:val="en-US"/>
              </w:rPr>
              <w:t>The outstanding principal amou</w:t>
            </w:r>
            <w:r>
              <w:rPr>
                <w:rFonts w:ascii="Arial" w:hAnsi="Arial" w:cs="Arial"/>
                <w:sz w:val="20"/>
                <w:szCs w:val="20"/>
                <w:lang w:val="en-US"/>
              </w:rPr>
              <w:t>nt of the Notes will not exceed £[●</w:t>
            </w:r>
            <w:r w:rsidRPr="00AA3008">
              <w:rPr>
                <w:rFonts w:ascii="Arial" w:hAnsi="Arial" w:cs="Arial"/>
                <w:sz w:val="20"/>
                <w:szCs w:val="20"/>
                <w:lang w:val="en-US"/>
              </w:rPr>
              <w:t>],000,000 at any time. The Maximum Amount may be increased from time to time in accordance with the Dealer Agreement.</w:t>
            </w:r>
          </w:p>
        </w:tc>
      </w:tr>
      <w:tr w:rsidR="000323B1" w:rsidTr="00736BCB">
        <w:tc>
          <w:tcPr>
            <w:tcW w:w="1951" w:type="dxa"/>
            <w:gridSpan w:val="2"/>
          </w:tcPr>
          <w:p w:rsidR="00880D35" w:rsidRPr="00AA3008" w:rsidRDefault="00335C17" w:rsidP="00FC28C1">
            <w:pPr>
              <w:kinsoku w:val="0"/>
              <w:overflowPunct w:val="0"/>
              <w:spacing w:after="240"/>
              <w:textAlignment w:val="baseline"/>
              <w:rPr>
                <w:rFonts w:ascii="Arial" w:hAnsi="Arial" w:cs="Arial"/>
                <w:b/>
                <w:bCs/>
                <w:sz w:val="20"/>
                <w:szCs w:val="20"/>
                <w:lang w:val="en-US"/>
              </w:rPr>
            </w:pPr>
            <w:r w:rsidRPr="00AA3008">
              <w:rPr>
                <w:rFonts w:ascii="Arial" w:hAnsi="Arial" w:cs="Arial"/>
                <w:b/>
                <w:sz w:val="20"/>
                <w:szCs w:val="20"/>
                <w:lang w:val="en-US"/>
              </w:rPr>
              <w:t>[</w:t>
            </w:r>
            <w:r w:rsidRPr="00AA3008">
              <w:rPr>
                <w:rFonts w:ascii="Arial" w:hAnsi="Arial" w:cs="Arial"/>
                <w:b/>
                <w:bCs/>
                <w:sz w:val="20"/>
                <w:szCs w:val="20"/>
                <w:lang w:val="en-US"/>
              </w:rPr>
              <w:t>Guarantee:</w:t>
            </w:r>
          </w:p>
        </w:tc>
        <w:tc>
          <w:tcPr>
            <w:tcW w:w="6580" w:type="dxa"/>
          </w:tcPr>
          <w:p w:rsidR="00880D35" w:rsidRPr="00AA3008" w:rsidRDefault="00335C17" w:rsidP="00346118">
            <w:pPr>
              <w:kinsoku w:val="0"/>
              <w:overflowPunct w:val="0"/>
              <w:spacing w:after="240"/>
              <w:jc w:val="both"/>
              <w:textAlignment w:val="baseline"/>
              <w:rPr>
                <w:rFonts w:ascii="Arial" w:hAnsi="Arial" w:cs="Arial"/>
                <w:sz w:val="20"/>
                <w:szCs w:val="20"/>
                <w:lang w:val="en-US"/>
              </w:rPr>
            </w:pPr>
            <w:r w:rsidRPr="00AA3008">
              <w:rPr>
                <w:rFonts w:ascii="Arial" w:hAnsi="Arial" w:cs="Arial"/>
                <w:sz w:val="20"/>
                <w:szCs w:val="20"/>
                <w:lang w:val="en-US"/>
              </w:rPr>
              <w:t>The Notes have the benefit of the Guarantee]</w:t>
            </w:r>
          </w:p>
        </w:tc>
      </w:tr>
      <w:tr w:rsidR="000323B1" w:rsidTr="00736BCB">
        <w:tc>
          <w:tcPr>
            <w:tcW w:w="1951" w:type="dxa"/>
            <w:gridSpan w:val="2"/>
          </w:tcPr>
          <w:p w:rsidR="00FC28C1" w:rsidRPr="00AA3008" w:rsidRDefault="00335C17" w:rsidP="00FC28C1">
            <w:pPr>
              <w:kinsoku w:val="0"/>
              <w:overflowPunct w:val="0"/>
              <w:spacing w:after="240"/>
              <w:textAlignment w:val="baseline"/>
              <w:rPr>
                <w:rFonts w:ascii="Arial" w:hAnsi="Arial" w:cs="Arial"/>
                <w:b/>
                <w:bCs/>
                <w:sz w:val="20"/>
                <w:szCs w:val="20"/>
                <w:lang w:val="en-US"/>
              </w:rPr>
            </w:pPr>
            <w:r w:rsidRPr="00AA3008">
              <w:rPr>
                <w:rFonts w:ascii="Arial" w:hAnsi="Arial" w:cs="Arial"/>
                <w:b/>
                <w:bCs/>
                <w:sz w:val="20"/>
                <w:szCs w:val="20"/>
                <w:lang w:val="en-US"/>
              </w:rPr>
              <w:t>Form of the Notes:</w:t>
            </w:r>
          </w:p>
        </w:tc>
        <w:tc>
          <w:tcPr>
            <w:tcW w:w="6580" w:type="dxa"/>
          </w:tcPr>
          <w:p w:rsidR="00FC28C1" w:rsidRPr="00AA3008" w:rsidRDefault="00335C17" w:rsidP="00346118">
            <w:pPr>
              <w:kinsoku w:val="0"/>
              <w:overflowPunct w:val="0"/>
              <w:spacing w:after="240"/>
              <w:jc w:val="both"/>
              <w:textAlignment w:val="baseline"/>
              <w:rPr>
                <w:rFonts w:ascii="Arial" w:hAnsi="Arial" w:cs="Arial"/>
                <w:sz w:val="20"/>
                <w:szCs w:val="20"/>
                <w:lang w:val="en-US"/>
              </w:rPr>
            </w:pPr>
            <w:r w:rsidRPr="00AA3008">
              <w:rPr>
                <w:rFonts w:ascii="Arial" w:hAnsi="Arial" w:cs="Arial"/>
                <w:sz w:val="20"/>
                <w:szCs w:val="20"/>
                <w:lang w:val="en-US"/>
              </w:rPr>
              <w:t>The Notes will be in bearer form. The Notes will initially be in global form (</w:t>
            </w:r>
            <w:r w:rsidRPr="00AA3008">
              <w:rPr>
                <w:rFonts w:ascii="Arial" w:hAnsi="Arial" w:cs="Arial"/>
                <w:sz w:val="20"/>
                <w:szCs w:val="20"/>
              </w:rPr>
              <w:t>“</w:t>
            </w:r>
            <w:r w:rsidRPr="00AA3008">
              <w:rPr>
                <w:rFonts w:ascii="Arial" w:hAnsi="Arial" w:cs="Arial"/>
                <w:b/>
                <w:bCs/>
                <w:sz w:val="20"/>
                <w:szCs w:val="20"/>
                <w:lang w:val="en-US"/>
              </w:rPr>
              <w:t>Global Notes</w:t>
            </w:r>
            <w:r w:rsidRPr="00AA3008">
              <w:rPr>
                <w:rFonts w:ascii="Arial" w:hAnsi="Arial" w:cs="Arial"/>
                <w:sz w:val="20"/>
                <w:szCs w:val="20"/>
              </w:rPr>
              <w:t>”</w:t>
            </w:r>
            <w:r w:rsidRPr="00AA3008">
              <w:rPr>
                <w:rFonts w:ascii="Arial" w:hAnsi="Arial" w:cs="Arial"/>
                <w:sz w:val="20"/>
                <w:szCs w:val="20"/>
                <w:lang w:val="en-US"/>
              </w:rPr>
              <w:t>). A Global Note will be exchangeable into definitive notes (</w:t>
            </w:r>
            <w:r w:rsidRPr="00AA3008">
              <w:rPr>
                <w:rFonts w:ascii="Arial" w:hAnsi="Arial" w:cs="Arial"/>
                <w:sz w:val="20"/>
                <w:szCs w:val="20"/>
              </w:rPr>
              <w:t>“</w:t>
            </w:r>
            <w:r w:rsidRPr="00AA3008">
              <w:rPr>
                <w:rFonts w:ascii="Arial" w:hAnsi="Arial" w:cs="Arial"/>
                <w:b/>
                <w:bCs/>
                <w:sz w:val="20"/>
                <w:szCs w:val="20"/>
                <w:lang w:val="en-US"/>
              </w:rPr>
              <w:t>Definitive Notes</w:t>
            </w:r>
            <w:r w:rsidRPr="00AA3008">
              <w:rPr>
                <w:rFonts w:ascii="Arial" w:hAnsi="Arial" w:cs="Arial"/>
                <w:sz w:val="20"/>
                <w:szCs w:val="20"/>
              </w:rPr>
              <w:t>”</w:t>
            </w:r>
            <w:r w:rsidRPr="00AA3008">
              <w:rPr>
                <w:rFonts w:ascii="Arial" w:hAnsi="Arial" w:cs="Arial"/>
                <w:sz w:val="20"/>
                <w:szCs w:val="20"/>
                <w:lang w:val="en-US"/>
              </w:rPr>
              <w:t>) only in the circumstances set out in that Global Note.</w:t>
            </w:r>
          </w:p>
        </w:tc>
      </w:tr>
      <w:tr w:rsidR="000323B1" w:rsidTr="00736BCB">
        <w:tc>
          <w:tcPr>
            <w:tcW w:w="1951" w:type="dxa"/>
            <w:gridSpan w:val="2"/>
          </w:tcPr>
          <w:p w:rsidR="00FC28C1" w:rsidRPr="00AA3008" w:rsidRDefault="00335C17" w:rsidP="00FC28C1">
            <w:pPr>
              <w:kinsoku w:val="0"/>
              <w:overflowPunct w:val="0"/>
              <w:spacing w:after="240"/>
              <w:textAlignment w:val="baseline"/>
              <w:rPr>
                <w:rFonts w:ascii="Arial" w:hAnsi="Arial" w:cs="Arial"/>
                <w:b/>
                <w:bCs/>
                <w:sz w:val="20"/>
                <w:szCs w:val="20"/>
                <w:lang w:val="en-US"/>
              </w:rPr>
            </w:pPr>
            <w:r w:rsidRPr="00AA3008">
              <w:rPr>
                <w:rFonts w:ascii="Arial" w:hAnsi="Arial" w:cs="Arial"/>
                <w:b/>
                <w:bCs/>
                <w:sz w:val="20"/>
                <w:szCs w:val="20"/>
                <w:lang w:val="en-US"/>
              </w:rPr>
              <w:t>Delivery:</w:t>
            </w:r>
          </w:p>
        </w:tc>
        <w:tc>
          <w:tcPr>
            <w:tcW w:w="6580" w:type="dxa"/>
          </w:tcPr>
          <w:p w:rsidR="00FC28C1" w:rsidRPr="00AA3008" w:rsidRDefault="00335C17" w:rsidP="00346118">
            <w:pPr>
              <w:kinsoku w:val="0"/>
              <w:overflowPunct w:val="0"/>
              <w:spacing w:after="240"/>
              <w:jc w:val="both"/>
              <w:textAlignment w:val="baseline"/>
              <w:rPr>
                <w:rFonts w:ascii="Arial" w:hAnsi="Arial" w:cs="Arial"/>
                <w:sz w:val="20"/>
                <w:szCs w:val="20"/>
                <w:lang w:val="en-US"/>
              </w:rPr>
            </w:pPr>
            <w:r w:rsidRPr="00AA3008">
              <w:rPr>
                <w:rFonts w:ascii="Arial" w:hAnsi="Arial" w:cs="Arial"/>
                <w:sz w:val="20"/>
                <w:szCs w:val="20"/>
                <w:lang w:val="en-US"/>
              </w:rPr>
              <w:t>Global Notes will be deposited with a common depository for Euroclear Bank S.A./N.V. (</w:t>
            </w:r>
            <w:r w:rsidRPr="00AA3008">
              <w:rPr>
                <w:rFonts w:ascii="Arial" w:hAnsi="Arial" w:cs="Arial"/>
                <w:sz w:val="20"/>
                <w:szCs w:val="20"/>
              </w:rPr>
              <w:t>“</w:t>
            </w:r>
            <w:r w:rsidRPr="00AA3008">
              <w:rPr>
                <w:rFonts w:ascii="Arial" w:hAnsi="Arial" w:cs="Arial"/>
                <w:b/>
                <w:bCs/>
                <w:sz w:val="20"/>
                <w:szCs w:val="20"/>
                <w:lang w:val="en-US"/>
              </w:rPr>
              <w:t>Euroclear</w:t>
            </w:r>
            <w:r w:rsidRPr="00AA3008">
              <w:rPr>
                <w:rFonts w:ascii="Arial" w:hAnsi="Arial" w:cs="Arial"/>
                <w:sz w:val="20"/>
                <w:szCs w:val="20"/>
              </w:rPr>
              <w:t>”</w:t>
            </w:r>
            <w:r w:rsidRPr="00AA3008">
              <w:rPr>
                <w:rFonts w:ascii="Arial" w:hAnsi="Arial" w:cs="Arial"/>
                <w:sz w:val="20"/>
                <w:szCs w:val="20"/>
                <w:lang w:val="en-US"/>
              </w:rPr>
              <w:t xml:space="preserve">) and Clearstream Banking, </w:t>
            </w:r>
            <w:r w:rsidRPr="00AA3008">
              <w:rPr>
                <w:rFonts w:ascii="Arial" w:hAnsi="Arial" w:cs="Arial"/>
                <w:i/>
                <w:iCs/>
                <w:sz w:val="20"/>
                <w:szCs w:val="20"/>
                <w:lang w:val="en-US"/>
              </w:rPr>
              <w:t xml:space="preserve">société anonyme </w:t>
            </w:r>
            <w:r w:rsidRPr="00AA3008">
              <w:rPr>
                <w:rFonts w:ascii="Arial" w:hAnsi="Arial" w:cs="Arial"/>
                <w:sz w:val="20"/>
                <w:szCs w:val="20"/>
                <w:lang w:val="en-US"/>
              </w:rPr>
              <w:t>(</w:t>
            </w:r>
            <w:r w:rsidRPr="00AA3008">
              <w:rPr>
                <w:rFonts w:ascii="Arial" w:hAnsi="Arial" w:cs="Arial"/>
                <w:sz w:val="20"/>
                <w:szCs w:val="20"/>
              </w:rPr>
              <w:t>“</w:t>
            </w:r>
            <w:r w:rsidRPr="00AA3008">
              <w:rPr>
                <w:rFonts w:ascii="Arial" w:hAnsi="Arial" w:cs="Arial"/>
                <w:b/>
                <w:bCs/>
                <w:sz w:val="20"/>
                <w:szCs w:val="20"/>
                <w:lang w:val="en-US"/>
              </w:rPr>
              <w:t>Clearstream, Luxembourg</w:t>
            </w:r>
            <w:r w:rsidRPr="00AA3008">
              <w:rPr>
                <w:rFonts w:ascii="Arial" w:hAnsi="Arial" w:cs="Arial"/>
                <w:sz w:val="20"/>
                <w:szCs w:val="20"/>
              </w:rPr>
              <w:t>”</w:t>
            </w:r>
            <w:r w:rsidRPr="00AA3008">
              <w:rPr>
                <w:rFonts w:ascii="Arial" w:hAnsi="Arial" w:cs="Arial"/>
                <w:sz w:val="20"/>
                <w:szCs w:val="20"/>
                <w:lang w:val="en-US"/>
              </w:rPr>
              <w:t>) or with any other clearing system</w:t>
            </w:r>
            <w:r w:rsidRPr="00AA3008">
              <w:rPr>
                <w:rFonts w:ascii="Arial" w:hAnsi="Arial" w:cs="Arial"/>
                <w:sz w:val="20"/>
                <w:szCs w:val="20"/>
                <w:vertAlign w:val="superscript"/>
                <w:lang w:val="en-US"/>
              </w:rPr>
              <w:t>2</w:t>
            </w:r>
            <w:r w:rsidRPr="00AA3008">
              <w:rPr>
                <w:rFonts w:ascii="Arial" w:hAnsi="Arial" w:cs="Arial"/>
                <w:sz w:val="20"/>
                <w:szCs w:val="20"/>
                <w:lang w:val="en-US"/>
              </w:rPr>
              <w:t>. Account holders will, in respect of Global Notes, have the benefit of a Deed of Covenant dated [</w:t>
            </w:r>
            <w:r>
              <w:rPr>
                <w:rFonts w:ascii="Arial" w:hAnsi="Arial" w:cs="Arial"/>
                <w:sz w:val="20"/>
                <w:szCs w:val="20"/>
                <w:lang w:val="en-US"/>
              </w:rPr>
              <w:t>●</w:t>
            </w:r>
            <w:r w:rsidRPr="00AA3008">
              <w:rPr>
                <w:rFonts w:ascii="Arial" w:hAnsi="Arial" w:cs="Arial"/>
                <w:sz w:val="20"/>
                <w:szCs w:val="20"/>
                <w:lang w:val="en-US"/>
              </w:rPr>
              <w:t xml:space="preserve">] (the </w:t>
            </w:r>
            <w:r w:rsidRPr="00AA3008">
              <w:rPr>
                <w:rFonts w:ascii="Arial" w:hAnsi="Arial" w:cs="Arial"/>
                <w:sz w:val="20"/>
                <w:szCs w:val="20"/>
              </w:rPr>
              <w:t>“</w:t>
            </w:r>
            <w:r w:rsidRPr="00AA3008">
              <w:rPr>
                <w:rFonts w:ascii="Arial" w:hAnsi="Arial" w:cs="Arial"/>
                <w:b/>
                <w:bCs/>
                <w:sz w:val="20"/>
                <w:szCs w:val="20"/>
                <w:lang w:val="en-US"/>
              </w:rPr>
              <w:t>Deed of Covenant</w:t>
            </w:r>
            <w:r w:rsidRPr="00AA3008">
              <w:rPr>
                <w:rFonts w:ascii="Arial" w:hAnsi="Arial" w:cs="Arial"/>
                <w:sz w:val="20"/>
                <w:szCs w:val="20"/>
              </w:rPr>
              <w:t>”</w:t>
            </w:r>
            <w:r w:rsidRPr="00AA3008">
              <w:rPr>
                <w:rFonts w:ascii="Arial" w:hAnsi="Arial" w:cs="Arial"/>
                <w:sz w:val="20"/>
                <w:szCs w:val="20"/>
                <w:lang w:val="en-US"/>
              </w:rPr>
              <w:t>), copies of which may be inspected during normal business hours at the specified office of the Issue and Paying Agent. Definitive Notes (if any are printed) will be available in London for collection or for delivery to Euroclear, Clearstream, Luxembourg or any other recognised clearing system.</w:t>
            </w:r>
          </w:p>
        </w:tc>
      </w:tr>
      <w:tr w:rsidR="000323B1" w:rsidTr="00736BCB">
        <w:tc>
          <w:tcPr>
            <w:tcW w:w="1951" w:type="dxa"/>
            <w:gridSpan w:val="2"/>
          </w:tcPr>
          <w:p w:rsidR="00FC28C1" w:rsidRPr="00AA3008" w:rsidRDefault="00335C17" w:rsidP="00FC28C1">
            <w:pPr>
              <w:kinsoku w:val="0"/>
              <w:overflowPunct w:val="0"/>
              <w:spacing w:after="240"/>
              <w:textAlignment w:val="baseline"/>
              <w:rPr>
                <w:rFonts w:ascii="Arial" w:hAnsi="Arial" w:cs="Arial"/>
                <w:b/>
                <w:bCs/>
                <w:sz w:val="20"/>
                <w:szCs w:val="20"/>
                <w:lang w:val="en-US"/>
              </w:rPr>
            </w:pPr>
            <w:r w:rsidRPr="00AA3008">
              <w:rPr>
                <w:rFonts w:ascii="Arial" w:hAnsi="Arial" w:cs="Arial"/>
                <w:b/>
                <w:bCs/>
                <w:sz w:val="20"/>
                <w:szCs w:val="20"/>
                <w:lang w:val="en-US"/>
              </w:rPr>
              <w:t>Currencies:</w:t>
            </w:r>
          </w:p>
        </w:tc>
        <w:tc>
          <w:tcPr>
            <w:tcW w:w="6580" w:type="dxa"/>
          </w:tcPr>
          <w:p w:rsidR="00FC28C1" w:rsidRPr="00AA3008" w:rsidRDefault="00335C17" w:rsidP="00736BCB">
            <w:pPr>
              <w:spacing w:after="240"/>
              <w:jc w:val="both"/>
              <w:rPr>
                <w:rFonts w:ascii="Arial" w:hAnsi="Arial" w:cs="Arial"/>
                <w:sz w:val="20"/>
                <w:szCs w:val="20"/>
                <w:lang w:val="en-US"/>
              </w:rPr>
            </w:pPr>
            <w:r w:rsidRPr="00AA3008">
              <w:rPr>
                <w:rFonts w:ascii="Arial" w:hAnsi="Arial" w:cs="Arial"/>
                <w:sz w:val="20"/>
                <w:szCs w:val="20"/>
                <w:lang w:val="en-US"/>
              </w:rPr>
              <w:t xml:space="preserve">Notes may be denominated in </w:t>
            </w:r>
            <w:r>
              <w:rPr>
                <w:rFonts w:ascii="Arial" w:hAnsi="Arial" w:cs="Arial"/>
                <w:sz w:val="20"/>
                <w:szCs w:val="20"/>
                <w:lang w:val="en-US"/>
              </w:rPr>
              <w:t>Sterling only.</w:t>
            </w:r>
          </w:p>
        </w:tc>
      </w:tr>
      <w:tr w:rsidR="000323B1" w:rsidTr="00736BCB">
        <w:tc>
          <w:tcPr>
            <w:tcW w:w="1951" w:type="dxa"/>
            <w:gridSpan w:val="2"/>
          </w:tcPr>
          <w:p w:rsidR="00FC28C1" w:rsidRPr="00AA3008" w:rsidRDefault="00335C17" w:rsidP="00FC28C1">
            <w:pPr>
              <w:kinsoku w:val="0"/>
              <w:overflowPunct w:val="0"/>
              <w:spacing w:after="240"/>
              <w:textAlignment w:val="baseline"/>
              <w:rPr>
                <w:rFonts w:ascii="Arial" w:hAnsi="Arial" w:cs="Arial"/>
                <w:b/>
                <w:bCs/>
                <w:sz w:val="20"/>
                <w:szCs w:val="20"/>
                <w:lang w:val="en-US"/>
              </w:rPr>
            </w:pPr>
            <w:r w:rsidRPr="00AA3008">
              <w:rPr>
                <w:rFonts w:ascii="Arial" w:hAnsi="Arial" w:cs="Arial"/>
                <w:b/>
                <w:bCs/>
                <w:sz w:val="20"/>
                <w:szCs w:val="20"/>
                <w:lang w:val="en-US"/>
              </w:rPr>
              <w:t>Term of Notes:</w:t>
            </w:r>
          </w:p>
        </w:tc>
        <w:tc>
          <w:tcPr>
            <w:tcW w:w="6580" w:type="dxa"/>
          </w:tcPr>
          <w:p w:rsidR="00FC28C1" w:rsidRPr="00AA3008" w:rsidRDefault="00335C17" w:rsidP="00736BCB">
            <w:pPr>
              <w:spacing w:after="240"/>
              <w:jc w:val="both"/>
              <w:rPr>
                <w:rFonts w:ascii="Arial" w:hAnsi="Arial" w:cs="Arial"/>
                <w:sz w:val="20"/>
                <w:szCs w:val="20"/>
              </w:rPr>
            </w:pPr>
            <w:r w:rsidRPr="00AA3008">
              <w:rPr>
                <w:rFonts w:ascii="Arial" w:hAnsi="Arial" w:cs="Arial"/>
                <w:sz w:val="20"/>
                <w:szCs w:val="20"/>
                <w:lang w:val="en-US"/>
              </w:rPr>
              <w:t xml:space="preserve">The tenor of the Notes shall be not </w:t>
            </w:r>
            <w:r>
              <w:rPr>
                <w:rFonts w:ascii="Arial" w:hAnsi="Arial" w:cs="Arial"/>
                <w:sz w:val="20"/>
                <w:szCs w:val="20"/>
                <w:lang w:val="en-US"/>
              </w:rPr>
              <w:t xml:space="preserve">less than one day or more than </w:t>
            </w:r>
            <w:r w:rsidRPr="00AA3008">
              <w:rPr>
                <w:rFonts w:ascii="Arial" w:hAnsi="Arial" w:cs="Arial"/>
                <w:sz w:val="20"/>
                <w:szCs w:val="20"/>
                <w:lang w:val="en-US"/>
              </w:rPr>
              <w:t>364 days from and including the date of issue, to (and including) the maturity date, subject to compliance with any applicable legal and regulatory requirements.</w:t>
            </w:r>
          </w:p>
        </w:tc>
      </w:tr>
      <w:tr w:rsidR="000323B1" w:rsidTr="00736BCB">
        <w:tc>
          <w:tcPr>
            <w:tcW w:w="1951" w:type="dxa"/>
            <w:gridSpan w:val="2"/>
          </w:tcPr>
          <w:p w:rsidR="00FC28C1" w:rsidRPr="00AA3008" w:rsidRDefault="00335C17" w:rsidP="00FC28C1">
            <w:pPr>
              <w:spacing w:after="240"/>
              <w:rPr>
                <w:rFonts w:ascii="Arial" w:hAnsi="Arial" w:cs="Arial"/>
                <w:sz w:val="20"/>
                <w:szCs w:val="20"/>
              </w:rPr>
            </w:pPr>
            <w:r w:rsidRPr="00AA3008">
              <w:rPr>
                <w:rFonts w:ascii="Arial" w:hAnsi="Arial" w:cs="Arial"/>
                <w:b/>
                <w:bCs/>
                <w:sz w:val="20"/>
                <w:szCs w:val="20"/>
                <w:lang w:val="en-US"/>
              </w:rPr>
              <w:t>Denomination of the Notes:</w:t>
            </w:r>
          </w:p>
        </w:tc>
        <w:tc>
          <w:tcPr>
            <w:tcW w:w="6580" w:type="dxa"/>
          </w:tcPr>
          <w:p w:rsidR="00FC28C1" w:rsidRPr="00AA3008" w:rsidRDefault="00335C17" w:rsidP="00736BCB">
            <w:pPr>
              <w:kinsoku w:val="0"/>
              <w:overflowPunct w:val="0"/>
              <w:spacing w:after="240"/>
              <w:jc w:val="both"/>
              <w:textAlignment w:val="baseline"/>
              <w:rPr>
                <w:rFonts w:ascii="Arial" w:hAnsi="Arial" w:cs="Arial"/>
                <w:sz w:val="20"/>
                <w:szCs w:val="20"/>
              </w:rPr>
            </w:pPr>
            <w:r w:rsidRPr="00AA3008">
              <w:rPr>
                <w:rFonts w:ascii="Arial" w:hAnsi="Arial" w:cs="Arial"/>
                <w:sz w:val="20"/>
                <w:szCs w:val="20"/>
                <w:lang w:val="en-US"/>
              </w:rPr>
              <w:t xml:space="preserve">Notes </w:t>
            </w:r>
            <w:r w:rsidRPr="00736BCB">
              <w:rPr>
                <w:rFonts w:ascii="Arial" w:hAnsi="Arial" w:cs="Arial"/>
                <w:sz w:val="20"/>
                <w:szCs w:val="20"/>
                <w:lang w:val="en-US"/>
              </w:rPr>
              <w:t>shall be issued in denominations of £100,000 (or integral multiples thereof)</w:t>
            </w:r>
            <w:r>
              <w:rPr>
                <w:rFonts w:ascii="Arial" w:hAnsi="Arial" w:cs="Arial"/>
                <w:sz w:val="20"/>
                <w:szCs w:val="20"/>
                <w:lang w:val="en-US"/>
              </w:rPr>
              <w:t>/</w:t>
            </w:r>
          </w:p>
        </w:tc>
      </w:tr>
      <w:tr w:rsidR="000323B1" w:rsidTr="00736BCB">
        <w:tc>
          <w:tcPr>
            <w:tcW w:w="1951" w:type="dxa"/>
            <w:gridSpan w:val="2"/>
          </w:tcPr>
          <w:p w:rsidR="00FC28C1" w:rsidRPr="00AA3008" w:rsidRDefault="00335C17" w:rsidP="00FC28C1">
            <w:pPr>
              <w:spacing w:after="240"/>
              <w:rPr>
                <w:rFonts w:ascii="Arial" w:hAnsi="Arial" w:cs="Arial"/>
                <w:sz w:val="20"/>
                <w:szCs w:val="20"/>
              </w:rPr>
            </w:pPr>
            <w:r w:rsidRPr="00AA3008">
              <w:rPr>
                <w:rFonts w:ascii="Arial" w:hAnsi="Arial" w:cs="Arial"/>
                <w:b/>
                <w:bCs/>
                <w:sz w:val="20"/>
                <w:szCs w:val="20"/>
                <w:lang w:val="en-US"/>
              </w:rPr>
              <w:t>Listing:</w:t>
            </w:r>
          </w:p>
        </w:tc>
        <w:tc>
          <w:tcPr>
            <w:tcW w:w="6580" w:type="dxa"/>
          </w:tcPr>
          <w:p w:rsidR="00FC28C1" w:rsidRPr="00AA3008" w:rsidRDefault="00335C17" w:rsidP="00346118">
            <w:pPr>
              <w:spacing w:after="240"/>
              <w:jc w:val="both"/>
              <w:rPr>
                <w:rFonts w:ascii="Arial" w:hAnsi="Arial" w:cs="Arial"/>
                <w:sz w:val="20"/>
                <w:szCs w:val="20"/>
              </w:rPr>
            </w:pPr>
            <w:r w:rsidRPr="00AA3008">
              <w:rPr>
                <w:rFonts w:ascii="Arial" w:hAnsi="Arial" w:cs="Arial"/>
                <w:sz w:val="20"/>
                <w:szCs w:val="20"/>
                <w:lang w:val="en-US"/>
              </w:rPr>
              <w:t>The Notes will not be listed on any stock exchange.</w:t>
            </w:r>
          </w:p>
        </w:tc>
      </w:tr>
      <w:tr w:rsidR="000323B1" w:rsidTr="00736BCB">
        <w:tc>
          <w:tcPr>
            <w:tcW w:w="1951" w:type="dxa"/>
            <w:gridSpan w:val="2"/>
          </w:tcPr>
          <w:p w:rsidR="00FC28C1"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Yield Basis:</w:t>
            </w:r>
          </w:p>
        </w:tc>
        <w:tc>
          <w:tcPr>
            <w:tcW w:w="6580" w:type="dxa"/>
          </w:tcPr>
          <w:p w:rsidR="00FC28C1" w:rsidRPr="00AA3008" w:rsidRDefault="00335C17" w:rsidP="00736BCB">
            <w:pPr>
              <w:spacing w:after="240"/>
              <w:jc w:val="both"/>
              <w:rPr>
                <w:rFonts w:ascii="Arial" w:hAnsi="Arial" w:cs="Arial"/>
                <w:sz w:val="20"/>
                <w:szCs w:val="20"/>
              </w:rPr>
            </w:pPr>
            <w:r w:rsidRPr="00AA3008">
              <w:rPr>
                <w:rFonts w:ascii="Arial" w:hAnsi="Arial" w:cs="Arial"/>
                <w:sz w:val="20"/>
                <w:szCs w:val="20"/>
                <w:lang w:val="en-US"/>
              </w:rPr>
              <w:t xml:space="preserve">The Notes </w:t>
            </w:r>
            <w:r>
              <w:rPr>
                <w:rFonts w:ascii="Arial" w:hAnsi="Arial" w:cs="Arial"/>
                <w:sz w:val="20"/>
                <w:szCs w:val="20"/>
                <w:lang w:val="en-US"/>
              </w:rPr>
              <w:t>will</w:t>
            </w:r>
            <w:r w:rsidRPr="00AA3008">
              <w:rPr>
                <w:rFonts w:ascii="Arial" w:hAnsi="Arial" w:cs="Arial"/>
                <w:sz w:val="20"/>
                <w:szCs w:val="20"/>
                <w:lang w:val="en-US"/>
              </w:rPr>
              <w:t xml:space="preserve"> be issued at a discount</w:t>
            </w:r>
            <w:r>
              <w:rPr>
                <w:rFonts w:ascii="Arial" w:hAnsi="Arial" w:cs="Arial"/>
                <w:sz w:val="20"/>
                <w:szCs w:val="20"/>
                <w:lang w:val="en-US"/>
              </w:rPr>
              <w:t xml:space="preserve"> and will not bear interest.</w:t>
            </w:r>
          </w:p>
        </w:tc>
      </w:tr>
      <w:tr w:rsidR="000323B1" w:rsidTr="00736BCB">
        <w:tc>
          <w:tcPr>
            <w:tcW w:w="1951" w:type="dxa"/>
            <w:gridSpan w:val="2"/>
          </w:tcPr>
          <w:p w:rsidR="00FC28C1"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Redemption:</w:t>
            </w:r>
          </w:p>
        </w:tc>
        <w:tc>
          <w:tcPr>
            <w:tcW w:w="6580" w:type="dxa"/>
          </w:tcPr>
          <w:p w:rsidR="00FC28C1" w:rsidRPr="00AA3008" w:rsidRDefault="00335C17" w:rsidP="00346118">
            <w:pPr>
              <w:spacing w:after="240"/>
              <w:jc w:val="both"/>
              <w:rPr>
                <w:rFonts w:ascii="Arial" w:hAnsi="Arial" w:cs="Arial"/>
                <w:sz w:val="20"/>
                <w:szCs w:val="20"/>
              </w:rPr>
            </w:pPr>
            <w:r w:rsidRPr="00AA3008">
              <w:rPr>
                <w:rFonts w:ascii="Arial" w:hAnsi="Arial" w:cs="Arial"/>
                <w:sz w:val="20"/>
                <w:szCs w:val="20"/>
                <w:lang w:val="en-US"/>
              </w:rPr>
              <w:t>The Notes will be redeemed as specified in the Notes.</w:t>
            </w:r>
          </w:p>
        </w:tc>
      </w:tr>
      <w:tr w:rsidR="000323B1" w:rsidTr="00736BCB">
        <w:tc>
          <w:tcPr>
            <w:tcW w:w="1951" w:type="dxa"/>
            <w:gridSpan w:val="2"/>
          </w:tcPr>
          <w:p w:rsidR="00FC28C1"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Status of the Notes:</w:t>
            </w:r>
          </w:p>
        </w:tc>
        <w:tc>
          <w:tcPr>
            <w:tcW w:w="6580" w:type="dxa"/>
          </w:tcPr>
          <w:p w:rsidR="00FC28C1" w:rsidRPr="00AA3008" w:rsidRDefault="00335C17" w:rsidP="00346118">
            <w:pPr>
              <w:kinsoku w:val="0"/>
              <w:overflowPunct w:val="0"/>
              <w:spacing w:after="240"/>
              <w:jc w:val="both"/>
              <w:textAlignment w:val="baseline"/>
              <w:rPr>
                <w:rFonts w:ascii="Arial" w:hAnsi="Arial" w:cs="Arial"/>
                <w:sz w:val="20"/>
                <w:szCs w:val="20"/>
                <w:lang w:val="en-US"/>
              </w:rPr>
            </w:pPr>
            <w:r w:rsidRPr="00AA3008">
              <w:rPr>
                <w:rFonts w:ascii="Arial" w:hAnsi="Arial" w:cs="Arial"/>
                <w:sz w:val="20"/>
                <w:szCs w:val="20"/>
                <w:lang w:val="en-US"/>
              </w:rPr>
              <w:t>The Issuer</w:t>
            </w:r>
            <w:r w:rsidRPr="00AA3008">
              <w:rPr>
                <w:rFonts w:ascii="Arial" w:hAnsi="Arial" w:cs="Arial"/>
                <w:sz w:val="20"/>
                <w:szCs w:val="20"/>
              </w:rPr>
              <w:t>’</w:t>
            </w:r>
            <w:r w:rsidRPr="00AA3008">
              <w:rPr>
                <w:rFonts w:ascii="Arial" w:hAnsi="Arial" w:cs="Arial"/>
                <w:sz w:val="20"/>
                <w:szCs w:val="20"/>
                <w:lang w:val="en-US"/>
              </w:rPr>
              <w:t xml:space="preserve">s obligations under the Notes will rank at least </w:t>
            </w:r>
            <w:r w:rsidRPr="00AA3008">
              <w:rPr>
                <w:rFonts w:ascii="Arial" w:hAnsi="Arial" w:cs="Arial"/>
                <w:i/>
                <w:iCs/>
                <w:sz w:val="20"/>
                <w:szCs w:val="20"/>
                <w:lang w:val="en-US"/>
              </w:rPr>
              <w:t xml:space="preserve">pari passu </w:t>
            </w:r>
            <w:r w:rsidRPr="00AA3008">
              <w:rPr>
                <w:rFonts w:ascii="Arial" w:hAnsi="Arial" w:cs="Arial"/>
                <w:sz w:val="20"/>
                <w:szCs w:val="20"/>
                <w:lang w:val="en-US"/>
              </w:rPr>
              <w:t xml:space="preserve">with all present and future unsecured and unsubordinated obligations of the </w:t>
            </w:r>
            <w:r w:rsidRPr="00AA3008">
              <w:rPr>
                <w:rFonts w:ascii="Arial" w:hAnsi="Arial" w:cs="Arial"/>
                <w:sz w:val="20"/>
                <w:szCs w:val="20"/>
                <w:lang w:val="en-US"/>
              </w:rPr>
              <w:lastRenderedPageBreak/>
              <w:t xml:space="preserve">Issuer other than obligations mandatorily preferred by law applying to </w:t>
            </w:r>
            <w:r w:rsidR="00CB0F5E">
              <w:rPr>
                <w:rFonts w:ascii="Arial" w:hAnsi="Arial" w:cs="Arial"/>
                <w:sz w:val="20"/>
                <w:szCs w:val="20"/>
                <w:lang w:val="en-US"/>
              </w:rPr>
              <w:t>[</w:t>
            </w:r>
            <w:r w:rsidRPr="00AA3008">
              <w:rPr>
                <w:rFonts w:ascii="Arial" w:hAnsi="Arial" w:cs="Arial"/>
                <w:sz w:val="20"/>
                <w:szCs w:val="20"/>
                <w:lang w:val="en-US"/>
              </w:rPr>
              <w:t>companies</w:t>
            </w:r>
            <w:r w:rsidR="00CB0F5E">
              <w:rPr>
                <w:rFonts w:ascii="Arial" w:hAnsi="Arial" w:cs="Arial"/>
                <w:sz w:val="20"/>
                <w:szCs w:val="20"/>
                <w:lang w:val="en-US"/>
              </w:rPr>
              <w:t>]/[limited liability partnerships]</w:t>
            </w:r>
            <w:r w:rsidRPr="00AA3008">
              <w:rPr>
                <w:rFonts w:ascii="Arial" w:hAnsi="Arial" w:cs="Arial"/>
                <w:sz w:val="20"/>
                <w:szCs w:val="20"/>
                <w:lang w:val="en-US"/>
              </w:rPr>
              <w:t xml:space="preserve"> generally.</w:t>
            </w:r>
          </w:p>
        </w:tc>
      </w:tr>
      <w:tr w:rsidR="000323B1" w:rsidTr="00736BCB">
        <w:tc>
          <w:tcPr>
            <w:tcW w:w="1951" w:type="dxa"/>
            <w:gridSpan w:val="2"/>
            <w:shd w:val="clear" w:color="auto" w:fill="auto"/>
          </w:tcPr>
          <w:p w:rsidR="00A445C7" w:rsidRPr="00AA3008" w:rsidRDefault="00335C17" w:rsidP="00FC28C1">
            <w:pPr>
              <w:spacing w:after="240"/>
              <w:rPr>
                <w:rFonts w:ascii="Arial" w:hAnsi="Arial" w:cs="Arial"/>
                <w:sz w:val="20"/>
                <w:szCs w:val="20"/>
                <w:lang w:val="en-US"/>
              </w:rPr>
            </w:pPr>
            <w:r w:rsidRPr="00AA3008">
              <w:rPr>
                <w:rFonts w:ascii="Arial" w:hAnsi="Arial" w:cs="Arial"/>
                <w:sz w:val="20"/>
                <w:szCs w:val="20"/>
                <w:lang w:val="en-US"/>
              </w:rPr>
              <w:lastRenderedPageBreak/>
              <w:t>[</w:t>
            </w:r>
            <w:r w:rsidRPr="00AA3008">
              <w:rPr>
                <w:rFonts w:ascii="Arial" w:hAnsi="Arial" w:cs="Arial"/>
                <w:b/>
                <w:bCs/>
                <w:sz w:val="20"/>
                <w:szCs w:val="20"/>
                <w:lang w:val="en-US"/>
              </w:rPr>
              <w:t>Status of the Guarantee:</w:t>
            </w:r>
          </w:p>
        </w:tc>
        <w:tc>
          <w:tcPr>
            <w:tcW w:w="6580" w:type="dxa"/>
            <w:shd w:val="clear" w:color="auto" w:fill="auto"/>
          </w:tcPr>
          <w:p w:rsidR="00A445C7" w:rsidRPr="00AA3008" w:rsidRDefault="00335C17" w:rsidP="00346118">
            <w:pPr>
              <w:kinsoku w:val="0"/>
              <w:overflowPunct w:val="0"/>
              <w:spacing w:after="240"/>
              <w:jc w:val="both"/>
              <w:textAlignment w:val="baseline"/>
              <w:rPr>
                <w:rFonts w:ascii="Arial" w:hAnsi="Arial" w:cs="Arial"/>
                <w:sz w:val="20"/>
                <w:szCs w:val="20"/>
                <w:lang w:val="en-US"/>
              </w:rPr>
            </w:pPr>
            <w:r w:rsidRPr="00AA3008">
              <w:rPr>
                <w:rFonts w:ascii="Arial" w:hAnsi="Arial" w:cs="Arial"/>
                <w:sz w:val="20"/>
                <w:szCs w:val="20"/>
                <w:lang w:val="en-US"/>
              </w:rPr>
              <w:t>The Guarantor</w:t>
            </w:r>
            <w:r w:rsidRPr="00AA3008">
              <w:rPr>
                <w:rFonts w:ascii="Arial" w:hAnsi="Arial" w:cs="Arial"/>
                <w:sz w:val="20"/>
                <w:szCs w:val="20"/>
              </w:rPr>
              <w:t>’</w:t>
            </w:r>
            <w:r w:rsidRPr="00AA3008">
              <w:rPr>
                <w:rFonts w:ascii="Arial" w:hAnsi="Arial" w:cs="Arial"/>
                <w:sz w:val="20"/>
                <w:szCs w:val="20"/>
                <w:lang w:val="en-US"/>
              </w:rPr>
              <w:t xml:space="preserve">s obligations under the Guarantee rank and will rank at least </w:t>
            </w:r>
            <w:r w:rsidRPr="00AA3008">
              <w:rPr>
                <w:rFonts w:ascii="Arial" w:hAnsi="Arial" w:cs="Arial"/>
                <w:i/>
                <w:iCs/>
                <w:sz w:val="20"/>
                <w:szCs w:val="20"/>
                <w:lang w:val="en-US"/>
              </w:rPr>
              <w:t xml:space="preserve">pari passu </w:t>
            </w:r>
            <w:r w:rsidRPr="00AA3008">
              <w:rPr>
                <w:rFonts w:ascii="Arial" w:hAnsi="Arial" w:cs="Arial"/>
                <w:sz w:val="20"/>
                <w:szCs w:val="20"/>
                <w:lang w:val="en-US"/>
              </w:rPr>
              <w:t xml:space="preserve">with all present and future unsecured and unsubordinated obligations of the Guarantor other than obligations mandatorily preferred by law applying to </w:t>
            </w:r>
            <w:r w:rsidR="00CB0F5E">
              <w:rPr>
                <w:rFonts w:ascii="Arial" w:hAnsi="Arial" w:cs="Arial"/>
                <w:sz w:val="20"/>
                <w:szCs w:val="20"/>
                <w:lang w:val="en-US"/>
              </w:rPr>
              <w:t>[</w:t>
            </w:r>
            <w:r w:rsidRPr="00AA3008">
              <w:rPr>
                <w:rFonts w:ascii="Arial" w:hAnsi="Arial" w:cs="Arial"/>
                <w:sz w:val="20"/>
                <w:szCs w:val="20"/>
                <w:lang w:val="en-US"/>
              </w:rPr>
              <w:t>companies</w:t>
            </w:r>
            <w:r w:rsidR="00CB0F5E">
              <w:rPr>
                <w:rFonts w:ascii="Arial" w:hAnsi="Arial" w:cs="Arial"/>
                <w:sz w:val="20"/>
                <w:szCs w:val="20"/>
                <w:lang w:val="en-US"/>
              </w:rPr>
              <w:t>]/[limited liability partnerships]</w:t>
            </w:r>
            <w:r w:rsidRPr="00AA3008">
              <w:rPr>
                <w:rFonts w:ascii="Arial" w:hAnsi="Arial" w:cs="Arial"/>
                <w:sz w:val="20"/>
                <w:szCs w:val="20"/>
                <w:lang w:val="en-US"/>
              </w:rPr>
              <w:t xml:space="preserve"> generally.]</w:t>
            </w:r>
          </w:p>
        </w:tc>
      </w:tr>
      <w:tr w:rsidR="000323B1" w:rsidTr="00736BCB">
        <w:tc>
          <w:tcPr>
            <w:tcW w:w="1951" w:type="dxa"/>
            <w:gridSpan w:val="2"/>
            <w:shd w:val="clear" w:color="auto" w:fill="auto"/>
          </w:tcPr>
          <w:p w:rsidR="00A445C7" w:rsidRPr="00AA3008" w:rsidRDefault="00335C17" w:rsidP="00FC28C1">
            <w:pPr>
              <w:spacing w:after="240"/>
              <w:rPr>
                <w:rFonts w:ascii="Arial" w:hAnsi="Arial" w:cs="Arial"/>
                <w:sz w:val="20"/>
                <w:szCs w:val="20"/>
              </w:rPr>
            </w:pPr>
            <w:r w:rsidRPr="00AA3008">
              <w:rPr>
                <w:rFonts w:ascii="Arial" w:hAnsi="Arial" w:cs="Arial"/>
                <w:b/>
                <w:bCs/>
                <w:sz w:val="20"/>
                <w:szCs w:val="20"/>
                <w:lang w:val="en-US"/>
              </w:rPr>
              <w:t>Selling Restrictions:</w:t>
            </w:r>
          </w:p>
        </w:tc>
        <w:tc>
          <w:tcPr>
            <w:tcW w:w="6580" w:type="dxa"/>
            <w:shd w:val="clear" w:color="auto" w:fill="auto"/>
          </w:tcPr>
          <w:p w:rsidR="00A445C7" w:rsidRPr="00AA3008" w:rsidRDefault="00335C17" w:rsidP="00D61DC6">
            <w:pPr>
              <w:spacing w:after="240"/>
              <w:jc w:val="both"/>
              <w:rPr>
                <w:rFonts w:ascii="Arial" w:hAnsi="Arial" w:cs="Arial"/>
                <w:sz w:val="20"/>
                <w:szCs w:val="20"/>
                <w:lang w:val="en-US"/>
              </w:rPr>
            </w:pPr>
            <w:r w:rsidRPr="00AA3008">
              <w:rPr>
                <w:rFonts w:ascii="Arial" w:hAnsi="Arial" w:cs="Arial"/>
                <w:sz w:val="20"/>
                <w:szCs w:val="20"/>
                <w:lang w:val="en-US"/>
              </w:rPr>
              <w:t>Offers and sales of Notes and the distribution of this Information Memorandum and other information relating to the Issuer[, the Guarantor] and the Notes are subject to certain restrictions</w:t>
            </w:r>
            <w:r>
              <w:rPr>
                <w:rFonts w:ascii="Arial" w:hAnsi="Arial" w:cs="Arial"/>
                <w:sz w:val="20"/>
                <w:szCs w:val="20"/>
                <w:lang w:val="en-US"/>
              </w:rPr>
              <w:t xml:space="preserve"> as set out in the Dealer Agreement </w:t>
            </w:r>
            <w:r w:rsidRPr="00AA3008">
              <w:rPr>
                <w:rFonts w:ascii="Arial" w:hAnsi="Arial" w:cs="Arial"/>
                <w:sz w:val="20"/>
                <w:szCs w:val="20"/>
                <w:lang w:val="en-US"/>
              </w:rPr>
              <w:t xml:space="preserve">the Issuer[, the Guarantor] and </w:t>
            </w:r>
            <w:r>
              <w:rPr>
                <w:rFonts w:ascii="Arial" w:hAnsi="Arial" w:cs="Arial"/>
                <w:sz w:val="20"/>
                <w:szCs w:val="20"/>
                <w:lang w:val="en-US"/>
              </w:rPr>
              <w:t xml:space="preserve">[●] dated </w:t>
            </w:r>
            <w:r w:rsidRPr="00AA3008">
              <w:rPr>
                <w:rFonts w:ascii="Arial" w:hAnsi="Arial" w:cs="Arial"/>
                <w:sz w:val="20"/>
                <w:szCs w:val="20"/>
                <w:lang w:val="en-US"/>
              </w:rPr>
              <w:t xml:space="preserve"> </w:t>
            </w:r>
            <w:r>
              <w:rPr>
                <w:rFonts w:ascii="Arial" w:hAnsi="Arial" w:cs="Arial"/>
                <w:sz w:val="20"/>
                <w:szCs w:val="20"/>
                <w:lang w:val="en-US"/>
              </w:rPr>
              <w:t>[●].</w:t>
            </w:r>
          </w:p>
        </w:tc>
      </w:tr>
      <w:tr w:rsidR="000323B1" w:rsidTr="00736BCB">
        <w:tc>
          <w:tcPr>
            <w:tcW w:w="1939" w:type="dxa"/>
            <w:shd w:val="clear" w:color="auto" w:fill="auto"/>
          </w:tcPr>
          <w:p w:rsidR="00A445C7"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Taxes:</w:t>
            </w:r>
          </w:p>
        </w:tc>
        <w:tc>
          <w:tcPr>
            <w:tcW w:w="6592" w:type="dxa"/>
            <w:gridSpan w:val="2"/>
            <w:shd w:val="clear" w:color="auto" w:fill="auto"/>
          </w:tcPr>
          <w:p w:rsidR="00A445C7" w:rsidRPr="00AA3008" w:rsidRDefault="00335C17" w:rsidP="00346118">
            <w:pPr>
              <w:spacing w:after="240"/>
              <w:jc w:val="both"/>
              <w:rPr>
                <w:rFonts w:ascii="Arial" w:hAnsi="Arial" w:cs="Arial"/>
                <w:sz w:val="20"/>
                <w:szCs w:val="20"/>
                <w:lang w:val="en-US"/>
              </w:rPr>
            </w:pPr>
            <w:r w:rsidRPr="00AA3008">
              <w:rPr>
                <w:rFonts w:ascii="Arial" w:hAnsi="Arial" w:cs="Arial"/>
                <w:sz w:val="20"/>
                <w:szCs w:val="20"/>
                <w:lang w:val="en-US"/>
              </w:rPr>
              <w:t>All payments in respect of the Notes[ and the Guarantee] shall be made without withholding or deduction for or on account of any taxes imposed by [</w:t>
            </w:r>
            <w:r w:rsidRPr="00AA3008">
              <w:rPr>
                <w:rFonts w:ascii="Arial" w:hAnsi="Arial" w:cs="Arial"/>
                <w:i/>
                <w:iCs/>
                <w:sz w:val="20"/>
                <w:szCs w:val="20"/>
                <w:lang w:val="en-US"/>
              </w:rPr>
              <w:t>Issuer jurisdiction</w:t>
            </w:r>
            <w:r w:rsidRPr="00AA3008">
              <w:rPr>
                <w:rFonts w:ascii="Arial" w:hAnsi="Arial" w:cs="Arial"/>
                <w:sz w:val="20"/>
                <w:szCs w:val="20"/>
                <w:lang w:val="en-US"/>
              </w:rPr>
              <w:t>][ or [</w:t>
            </w:r>
            <w:r w:rsidRPr="00AA3008">
              <w:rPr>
                <w:rFonts w:ascii="Arial" w:hAnsi="Arial" w:cs="Arial"/>
                <w:i/>
                <w:iCs/>
                <w:sz w:val="20"/>
                <w:szCs w:val="20"/>
                <w:lang w:val="en-US"/>
              </w:rPr>
              <w:t>Guarantor jurisdiction</w:t>
            </w:r>
            <w:r w:rsidRPr="00AA3008">
              <w:rPr>
                <w:rFonts w:ascii="Arial" w:hAnsi="Arial" w:cs="Arial"/>
                <w:sz w:val="20"/>
                <w:szCs w:val="20"/>
                <w:lang w:val="en-US"/>
              </w:rPr>
              <w:t>]], unless such withholding or deduction is required by law. If such withholding or deduction is required by law, the Issuer[ or the Guarantor, as the case may be,] shall, subject to certain exceptions, be required to pay such additional amounts as shall result in receipt by the holder of such amounts as would have been received by it had no such withholding or deduction been required.</w:t>
            </w:r>
          </w:p>
        </w:tc>
      </w:tr>
      <w:tr w:rsidR="000323B1" w:rsidTr="00736BCB">
        <w:tc>
          <w:tcPr>
            <w:tcW w:w="1939" w:type="dxa"/>
          </w:tcPr>
          <w:p w:rsidR="00FC28C1" w:rsidRPr="00AA3008" w:rsidRDefault="00335C17" w:rsidP="00FC28C1">
            <w:pPr>
              <w:spacing w:after="240"/>
              <w:rPr>
                <w:rFonts w:ascii="Arial" w:hAnsi="Arial" w:cs="Arial"/>
                <w:b/>
                <w:bCs/>
                <w:sz w:val="20"/>
                <w:szCs w:val="20"/>
                <w:lang w:val="en-US"/>
              </w:rPr>
            </w:pPr>
            <w:r w:rsidRPr="00AA3008">
              <w:rPr>
                <w:rFonts w:ascii="Arial" w:hAnsi="Arial" w:cs="Arial"/>
                <w:b/>
                <w:bCs/>
                <w:sz w:val="20"/>
                <w:szCs w:val="20"/>
                <w:lang w:val="en-US"/>
              </w:rPr>
              <w:t>Governing Law:</w:t>
            </w:r>
          </w:p>
        </w:tc>
        <w:tc>
          <w:tcPr>
            <w:tcW w:w="6592" w:type="dxa"/>
            <w:gridSpan w:val="2"/>
          </w:tcPr>
          <w:p w:rsidR="00FC28C1" w:rsidRPr="00AA3008" w:rsidRDefault="00335C17" w:rsidP="00346118">
            <w:pPr>
              <w:spacing w:after="240"/>
              <w:jc w:val="both"/>
              <w:rPr>
                <w:rFonts w:ascii="Arial" w:hAnsi="Arial" w:cs="Arial"/>
                <w:sz w:val="20"/>
                <w:szCs w:val="20"/>
                <w:lang w:val="en-US"/>
              </w:rPr>
            </w:pPr>
            <w:r w:rsidRPr="00AA3008">
              <w:rPr>
                <w:rFonts w:ascii="Arial" w:hAnsi="Arial" w:cs="Arial"/>
                <w:sz w:val="20"/>
                <w:szCs w:val="20"/>
                <w:lang w:val="en-US"/>
              </w:rPr>
              <w:t>The Notes[ and the Guarantee] and any non-contractual obligations arising out of or in connection with them will be governed by and construed in accordance with English law.</w:t>
            </w:r>
          </w:p>
        </w:tc>
      </w:tr>
    </w:tbl>
    <w:p w:rsidR="00A72E0A" w:rsidRPr="00AA3008" w:rsidRDefault="00757C5F" w:rsidP="00CE35B4">
      <w:pPr>
        <w:jc w:val="both"/>
        <w:rPr>
          <w:rFonts w:ascii="Arial" w:hAnsi="Arial" w:cs="Arial"/>
          <w:b/>
          <w:bCs/>
          <w:sz w:val="20"/>
          <w:szCs w:val="20"/>
          <w:lang w:val="en-US"/>
        </w:rPr>
      </w:pPr>
    </w:p>
    <w:p w:rsidR="00736BCB" w:rsidRDefault="00757C5F" w:rsidP="00346118">
      <w:pPr>
        <w:kinsoku w:val="0"/>
        <w:overflowPunct w:val="0"/>
        <w:spacing w:after="240"/>
        <w:jc w:val="both"/>
        <w:textAlignment w:val="baseline"/>
        <w:rPr>
          <w:rFonts w:ascii="Arial" w:hAnsi="Arial" w:cs="Arial"/>
          <w:b/>
          <w:bCs/>
          <w:sz w:val="20"/>
          <w:szCs w:val="20"/>
          <w:lang w:val="en-US"/>
        </w:rPr>
      </w:pPr>
    </w:p>
    <w:p w:rsidR="00335C17" w:rsidRPr="00736BCB" w:rsidRDefault="00335C17" w:rsidP="00346118">
      <w:pPr>
        <w:kinsoku w:val="0"/>
        <w:overflowPunct w:val="0"/>
        <w:spacing w:after="240"/>
        <w:jc w:val="both"/>
        <w:textAlignment w:val="baseline"/>
        <w:rPr>
          <w:rFonts w:ascii="Arial" w:hAnsi="Arial" w:cs="Arial"/>
          <w:sz w:val="20"/>
          <w:szCs w:val="20"/>
        </w:rPr>
      </w:pPr>
    </w:p>
    <w:sectPr w:rsidR="00335C17" w:rsidRPr="00736BCB" w:rsidSect="00D2047F">
      <w:footerReference w:type="default" r:id="rId8"/>
      <w:footerReference w:type="first" r:id="rId9"/>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F6" w:rsidRDefault="009E43F6">
      <w:r>
        <w:separator/>
      </w:r>
    </w:p>
  </w:endnote>
  <w:endnote w:type="continuationSeparator" w:id="0">
    <w:p w:rsidR="009E43F6" w:rsidRDefault="009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35" w:rsidRDefault="00335C17" w:rsidP="00DF399A">
    <w:pPr>
      <w:pStyle w:val="Footer"/>
      <w:rPr>
        <w:noProof/>
      </w:rPr>
    </w:pPr>
    <w:r>
      <w:tab/>
    </w:r>
    <w:r>
      <w:rPr>
        <w:spacing w:val="6"/>
      </w:rPr>
      <w:fldChar w:fldCharType="begin"/>
    </w:r>
    <w:r>
      <w:rPr>
        <w:spacing w:val="6"/>
      </w:rPr>
      <w:instrText xml:space="preserve"> PAGE   \* MERGEFORMAT </w:instrText>
    </w:r>
    <w:r>
      <w:rPr>
        <w:spacing w:val="6"/>
      </w:rPr>
      <w:fldChar w:fldCharType="separate"/>
    </w:r>
    <w:r w:rsidR="00757C5F">
      <w:rPr>
        <w:noProof/>
        <w:spacing w:val="6"/>
      </w:rPr>
      <w:t>2</w:t>
    </w:r>
    <w:r>
      <w:rPr>
        <w:spacing w:val="6"/>
      </w:rPr>
      <w:fldChar w:fldCharType="end"/>
    </w:r>
    <w:r>
      <w:rPr>
        <w:rFonts w:ascii="Symbol" w:hAnsi="Symbol"/>
      </w:rPr>
      <w:sym w:font="Symbol" w:char="F0EF"/>
    </w:r>
    <w:r>
      <w:rPr>
        <w:noProof/>
      </w:rPr>
      <w:fldChar w:fldCharType="begin"/>
    </w:r>
    <w:r>
      <w:rPr>
        <w:noProof/>
      </w:rPr>
      <w:instrText xml:space="preserve"> NUMPAGES  \* Arabic  \* MERGEFORMAT </w:instrText>
    </w:r>
    <w:r>
      <w:rPr>
        <w:noProof/>
      </w:rPr>
      <w:fldChar w:fldCharType="separate"/>
    </w:r>
    <w:r w:rsidR="00757C5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35" w:rsidRDefault="00335C17" w:rsidP="00DF399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F6" w:rsidRDefault="009E43F6">
      <w:r>
        <w:separator/>
      </w:r>
    </w:p>
  </w:footnote>
  <w:footnote w:type="continuationSeparator" w:id="0">
    <w:p w:rsidR="009E43F6" w:rsidRDefault="009E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07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CD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0A77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04E302"/>
    <w:lvl w:ilvl="0">
      <w:start w:val="1"/>
      <w:numFmt w:val="decimal"/>
      <w:lvlText w:val="%1."/>
      <w:lvlJc w:val="left"/>
      <w:pPr>
        <w:tabs>
          <w:tab w:val="num" w:pos="360"/>
        </w:tabs>
        <w:ind w:left="360" w:hanging="360"/>
      </w:pPr>
    </w:lvl>
  </w:abstractNum>
  <w:abstractNum w:abstractNumId="5"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 w:name="zzmp10LastTrailerInserted" w:val="^`~#mp!@6)##J┘┧9&lt;;|ŖmD⌓Æ3⌙IâXp”⌐⌍_Tò¶+⌎⌗z!Ì³⌓‪Û‡QrÛw|@⌟C\ˍFx‟Ðçú⌄Ï.0=⌊Rv⌡⌔°´íDÊ‭ÄKBÊ…¶ÕƖ‚býK±Ú/ñÌS&gt;»VÞ®yKR{ä5&lt;?ùÙ`A:x⌙‥Á¤0z‡R‣⌄4¼:â\nΩ$lˊò0©†1é⌑yõÝ ‥?âí*]p\ºUxkÖb¹Ü;ÊL:A[QY011"/>
    <w:docVar w:name="zzmp10LastTrailerInserted_2832" w:val="^`~#mp!@6)##J┘┧9&lt;;|ŖmD⌓Æ3⌙IâXp”⌐⌍_Tò¶+⌎⌗z!Ì³⌓‪Û‡QrÛw|@⌟C\ˍFx‟Ðçú⌄Ï.0=⌊Rv⌡⌔°´íDÊ‭ÄKBÊ…¶ÕƖ‚býK±Ú/ñÌS&gt;»VÞ®yKR{ä5&lt;?ùÙ`A:x⌙‥Á¤0z‡R‣⌄4¼:â\nΩ$lˊò0©†1é⌑yõÝ ‥?âí*]p\ºUxkÖb¹Ü;ÊL:A[QY011"/>
    <w:docVar w:name="zzmp10mSEGsValidated" w:val="1"/>
    <w:docVar w:name="zzmpLegacyTrailerRemoved" w:val="True"/>
    <w:docVar w:name="zzmpLTFontsClean" w:val="True"/>
    <w:docVar w:name="zzmpnSession" w:val="0.2665979"/>
  </w:docVars>
  <w:rsids>
    <w:rsidRoot w:val="000323B1"/>
    <w:rsid w:val="000323B1"/>
    <w:rsid w:val="00305660"/>
    <w:rsid w:val="00335C17"/>
    <w:rsid w:val="00373883"/>
    <w:rsid w:val="00722CB8"/>
    <w:rsid w:val="00757C5F"/>
    <w:rsid w:val="007B35D3"/>
    <w:rsid w:val="00806B02"/>
    <w:rsid w:val="008917D3"/>
    <w:rsid w:val="009E43F6"/>
    <w:rsid w:val="00A72D4C"/>
    <w:rsid w:val="00BF49F2"/>
    <w:rsid w:val="00CB0F5E"/>
    <w:rsid w:val="00D30AD5"/>
    <w:rsid w:val="00F65BCB"/>
    <w:rsid w:val="00F9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0DB50-439F-479B-9DDD-3B3079DE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E707B8"/>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4C670F"/>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customStyle="1" w:styleId="NoteHeading1">
    <w:name w:val="Note Heading1"/>
    <w:basedOn w:val="Normal"/>
    <w:next w:val="Normal"/>
    <w:link w:val="NoteHeadingChar"/>
    <w:uiPriority w:val="99"/>
    <w:semiHidden/>
    <w:rsid w:val="008F7985"/>
  </w:style>
  <w:style w:type="character" w:customStyle="1" w:styleId="NoteHeadingChar">
    <w:name w:val="Note Heading Char"/>
    <w:basedOn w:val="DefaultParagraphFont"/>
    <w:link w:val="NoteHeading1"/>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E707B8"/>
    <w:pPr>
      <w:ind w:left="240" w:hanging="240"/>
    </w:pPr>
  </w:style>
  <w:style w:type="paragraph" w:customStyle="1" w:styleId="MacPacTrailer">
    <w:name w:val="MacPac Trailer"/>
    <w:rsid w:val="00880D35"/>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 C C ! 5 6 8 2 9 6 5 9 4 . 8 < / d o c u m e n t i d >  
     < s e n d e r i d > M Q U M < / s e n d e r i d >  
     < s e n d e r e m a i l > M I C H A E L . M A Q U I E I R A @ S L A U G H T E R A N D M A Y . C O M < / s e n d e r e m a i l >  
     < l a s t m o d i f i e d > 2 0 2 0 - 0 7 - 1 6 T 1 5 : 2 5 : 0 0 . 0 0 0 0 0 0 0 + 0 1 : 0 0 < / l a s t m o d i f i e d >  
     < d a t a b a s e > C C < / d a t a b a s e >  
 < / p r o p e r t i e s > 
</file>

<file path=customXml/itemProps1.xml><?xml version="1.0" encoding="utf-8"?>
<ds:datastoreItem xmlns:ds="http://schemas.openxmlformats.org/officeDocument/2006/customXml" ds:itemID="{6BEECC4A-BBA4-4F39-A279-934D1454B8A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Sandra</dc:creator>
  <cp:lastModifiedBy>Ali, Norah</cp:lastModifiedBy>
  <cp:revision>2</cp:revision>
  <dcterms:created xsi:type="dcterms:W3CDTF">2020-07-29T09:15:00Z</dcterms:created>
  <dcterms:modified xsi:type="dcterms:W3CDTF">2020-07-29T09:15:00Z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iMat">
    <vt:lpwstr>000000-0005</vt:lpwstr>
  </property>
  <property fmtid="{D5CDD505-2E9C-101B-9397-08002B2CF9AE}" pid="3" name="docId">
    <vt:lpwstr>KM359675</vt:lpwstr>
  </property>
  <property fmtid="{D5CDD505-2E9C-101B-9397-08002B2CF9AE}" pid="4" name="docIncludeCliMat">
    <vt:lpwstr>true</vt:lpwstr>
  </property>
  <property fmtid="{D5CDD505-2E9C-101B-9397-08002B2CF9AE}" pid="5" name="docIncludeVersion">
    <vt:lpwstr>true</vt:lpwstr>
  </property>
  <property fmtid="{D5CDD505-2E9C-101B-9397-08002B2CF9AE}" pid="6" name="docVersion">
    <vt:lpwstr>7</vt:lpwstr>
  </property>
  <property fmtid="{D5CDD505-2E9C-101B-9397-08002B2CF9AE}" pid="7" name="udp_Author">
    <vt:lpwstr>GQD</vt:lpwstr>
  </property>
  <property fmtid="{D5CDD505-2E9C-101B-9397-08002B2CF9AE}" pid="8" name="udp_CMNumber">
    <vt:lpwstr>CC/CC</vt:lpwstr>
  </property>
  <property fmtid="{D5CDD505-2E9C-101B-9397-08002B2CF9AE}" pid="9" name="udp_DeptCode">
    <vt:lpwstr>PI</vt:lpwstr>
  </property>
  <property fmtid="{D5CDD505-2E9C-101B-9397-08002B2CF9AE}" pid="10" name="udp_DocID">
    <vt:lpwstr>568296594</vt:lpwstr>
  </property>
  <property fmtid="{D5CDD505-2E9C-101B-9397-08002B2CF9AE}" pid="11" name="udp_DocVersion">
    <vt:lpwstr>4</vt:lpwstr>
  </property>
  <property fmtid="{D5CDD505-2E9C-101B-9397-08002B2CF9AE}" pid="12" name="_NewReviewCycle">
    <vt:lpwstr/>
  </property>
  <property fmtid="{D5CDD505-2E9C-101B-9397-08002B2CF9AE}" pid="13" name="_AdHocReviewCycleID">
    <vt:i4>1863420312</vt:i4>
  </property>
  <property fmtid="{D5CDD505-2E9C-101B-9397-08002B2CF9AE}" pid="14" name="_EmailSubject">
    <vt:lpwstr>CCFF Webpage Changes for 03082020 DRAFT</vt:lpwstr>
  </property>
  <property fmtid="{D5CDD505-2E9C-101B-9397-08002B2CF9AE}" pid="15" name="_AuthorEmail">
    <vt:lpwstr>Katie.Alexander@bankofengland.co.uk</vt:lpwstr>
  </property>
  <property fmtid="{D5CDD505-2E9C-101B-9397-08002B2CF9AE}" pid="16" name="_AuthorEmailDisplayName">
    <vt:lpwstr>Alexander, Katie</vt:lpwstr>
  </property>
</Properties>
</file>