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7513" w14:textId="34EAA919" w:rsidR="00BC329A" w:rsidRDefault="00BC329A"/>
    <w:p w14:paraId="6CF58A84" w14:textId="77777777" w:rsidR="006A617C" w:rsidRDefault="006A617C"/>
    <w:p w14:paraId="6532CD95" w14:textId="2B7404F4" w:rsidR="006A617C" w:rsidRPr="00141F52" w:rsidRDefault="00E762F0" w:rsidP="005137ED">
      <w:pPr>
        <w:pStyle w:val="Heading3"/>
        <w:spacing w:before="0" w:after="240" w:line="264" w:lineRule="auto"/>
        <w:rPr>
          <w:rFonts w:ascii="Century Gothic" w:hAnsi="Century Gothic" w:cs="Calibri"/>
          <w:b/>
          <w:color w:val="12273F"/>
          <w:kern w:val="0"/>
          <w:sz w:val="44"/>
          <w:szCs w:val="44"/>
          <w14:ligatures w14:val="none"/>
        </w:rPr>
      </w:pPr>
      <w:r>
        <w:rPr>
          <w:rFonts w:ascii="Century Gothic" w:hAnsi="Century Gothic" w:cs="Calibri"/>
          <w:b/>
          <w:color w:val="12273F"/>
          <w:kern w:val="0"/>
          <w:sz w:val="44"/>
          <w:szCs w:val="44"/>
          <w14:ligatures w14:val="none"/>
        </w:rPr>
        <w:t>PRA Rulebook Article 325(9) Permission</w:t>
      </w:r>
      <w:r w:rsidR="006A617C" w:rsidRPr="00141F52">
        <w:rPr>
          <w:rFonts w:ascii="Century Gothic" w:hAnsi="Century Gothic" w:cs="Calibri"/>
          <w:b/>
          <w:color w:val="12273F"/>
          <w:kern w:val="0"/>
          <w:sz w:val="44"/>
          <w:szCs w:val="44"/>
          <w14:ligatures w14:val="none"/>
        </w:rPr>
        <w:t xml:space="preserve"> supplementary application form </w:t>
      </w:r>
    </w:p>
    <w:p w14:paraId="6F5E6B1B" w14:textId="77777777" w:rsidR="006A617C" w:rsidRPr="00C6133D" w:rsidRDefault="006A617C" w:rsidP="005137ED">
      <w:pPr>
        <w:pStyle w:val="Heading4"/>
        <w:spacing w:before="0" w:after="120" w:line="300" w:lineRule="auto"/>
        <w:rPr>
          <w:rFonts w:ascii="Century Gothic" w:hAnsi="Century Gothic" w:cs="Calibri"/>
          <w:b/>
          <w:i w:val="0"/>
          <w:color w:val="auto"/>
          <w:kern w:val="0"/>
          <w:sz w:val="25"/>
          <w:szCs w:val="27"/>
          <w14:ligatures w14:val="none"/>
        </w:rPr>
      </w:pPr>
      <w:r w:rsidRPr="00C6133D">
        <w:rPr>
          <w:rFonts w:ascii="Century Gothic" w:hAnsi="Century Gothic" w:cs="Calibri"/>
          <w:b/>
          <w:i w:val="0"/>
          <w:color w:val="auto"/>
          <w:kern w:val="0"/>
          <w:sz w:val="25"/>
          <w:szCs w:val="27"/>
          <w14:ligatures w14:val="none"/>
        </w:rPr>
        <w:t xml:space="preserve">Calculation of the overall net foreign exchange position </w:t>
      </w:r>
    </w:p>
    <w:p w14:paraId="68E919C1" w14:textId="1CEECAB3" w:rsidR="006A617C" w:rsidRPr="00C6133D" w:rsidRDefault="006A617C" w:rsidP="005137ED">
      <w:pPr>
        <w:pStyle w:val="Heading4"/>
        <w:spacing w:before="0" w:after="120" w:line="300" w:lineRule="auto"/>
        <w:rPr>
          <w:rFonts w:ascii="Century Gothic" w:hAnsi="Century Gothic" w:cs="Calibri"/>
          <w:b/>
          <w:i w:val="0"/>
          <w:color w:val="auto"/>
          <w:kern w:val="0"/>
          <w:sz w:val="25"/>
          <w:szCs w:val="27"/>
          <w14:ligatures w14:val="none"/>
        </w:rPr>
      </w:pPr>
      <w:r w:rsidRPr="00C6133D">
        <w:rPr>
          <w:rFonts w:ascii="Century Gothic" w:hAnsi="Century Gothic" w:cs="Calibri"/>
          <w:b/>
          <w:i w:val="0"/>
          <w:color w:val="auto"/>
          <w:kern w:val="0"/>
          <w:sz w:val="25"/>
          <w:szCs w:val="27"/>
          <w14:ligatures w14:val="none"/>
        </w:rPr>
        <w:t xml:space="preserve">Guidance on completion of </w:t>
      </w:r>
      <w:r w:rsidR="00C73698">
        <w:rPr>
          <w:rFonts w:ascii="Century Gothic" w:hAnsi="Century Gothic" w:cs="Calibri"/>
          <w:b/>
          <w:i w:val="0"/>
          <w:color w:val="auto"/>
          <w:kern w:val="0"/>
          <w:sz w:val="25"/>
          <w:szCs w:val="27"/>
          <w14:ligatures w14:val="none"/>
        </w:rPr>
        <w:t>supplementary application form</w:t>
      </w:r>
      <w:r w:rsidRPr="00C6133D">
        <w:rPr>
          <w:rFonts w:ascii="Century Gothic" w:hAnsi="Century Gothic" w:cs="Calibri"/>
          <w:b/>
          <w:i w:val="0"/>
          <w:color w:val="auto"/>
          <w:kern w:val="0"/>
          <w:sz w:val="25"/>
          <w:szCs w:val="27"/>
          <w14:ligatures w14:val="none"/>
        </w:rPr>
        <w:t xml:space="preserve">: </w:t>
      </w:r>
    </w:p>
    <w:p w14:paraId="60C9398D" w14:textId="4155F679" w:rsidR="00A819E9" w:rsidRPr="001F00B3" w:rsidRDefault="00C73698">
      <w:r w:rsidRPr="001F00B3">
        <w:t>This supplementary application form</w:t>
      </w:r>
      <w:r w:rsidR="006A617C" w:rsidRPr="001F00B3">
        <w:t xml:space="preserve"> must be completed, together with the </w:t>
      </w:r>
      <w:r w:rsidRPr="001F00B3">
        <w:t>“Permissions (CRR firms)</w:t>
      </w:r>
      <w:r w:rsidR="000E44FB" w:rsidRPr="001F00B3">
        <w:t>”</w:t>
      </w:r>
      <w:r w:rsidRPr="001F00B3">
        <w:t xml:space="preserve"> </w:t>
      </w:r>
      <w:r w:rsidR="000E44FB" w:rsidRPr="001F00B3">
        <w:t>general a</w:t>
      </w:r>
      <w:r w:rsidRPr="001F00B3">
        <w:t xml:space="preserve">pplication </w:t>
      </w:r>
      <w:r w:rsidR="000E44FB" w:rsidRPr="001F00B3">
        <w:t>f</w:t>
      </w:r>
      <w:r w:rsidRPr="001F00B3">
        <w:t>orm</w:t>
      </w:r>
      <w:r w:rsidR="006A617C" w:rsidRPr="001F00B3">
        <w:t>, by a firm applying for</w:t>
      </w:r>
      <w:r w:rsidRPr="001F00B3">
        <w:t xml:space="preserve"> a permission under</w:t>
      </w:r>
      <w:r w:rsidR="006A617C" w:rsidRPr="001F00B3">
        <w:t xml:space="preserve"> Article </w:t>
      </w:r>
      <w:r w:rsidRPr="001F00B3">
        <w:t>325(9) of the Market Risk: General Provisions Part of the PRA Rulebook</w:t>
      </w:r>
      <w:r w:rsidR="006A617C" w:rsidRPr="001F00B3">
        <w:t xml:space="preserve">. </w:t>
      </w:r>
      <w:r w:rsidR="00A819E9" w:rsidRPr="001F00B3">
        <w:t>Part A of this supplementary application form asks for information on how the firm meets the minimum standards set out in Article 325(9) and SS13/13. Part B sets out additional information firms should provide to assist the PRA in assessing the application.</w:t>
      </w:r>
    </w:p>
    <w:p w14:paraId="23E366DA" w14:textId="77777777" w:rsidR="00A819E9" w:rsidRPr="001F00B3" w:rsidRDefault="00A819E9"/>
    <w:p w14:paraId="2779533C" w14:textId="77777777" w:rsidR="00A819E9" w:rsidRPr="001F00B3" w:rsidRDefault="00A819E9" w:rsidP="00820EE1">
      <w:pPr>
        <w:pStyle w:val="Heading4"/>
        <w:spacing w:before="0" w:after="120" w:line="300" w:lineRule="auto"/>
        <w:rPr>
          <w:rFonts w:ascii="Century Gothic" w:hAnsi="Century Gothic" w:cs="Calibri"/>
          <w:b/>
          <w:kern w:val="0"/>
          <w:sz w:val="25"/>
          <w:szCs w:val="27"/>
          <w14:ligatures w14:val="none"/>
        </w:rPr>
      </w:pPr>
      <w:r w:rsidRPr="001F00B3">
        <w:rPr>
          <w:rFonts w:ascii="Century Gothic" w:hAnsi="Century Gothic" w:cs="Calibri"/>
          <w:b/>
          <w:i w:val="0"/>
          <w:color w:val="auto"/>
          <w:kern w:val="0"/>
          <w:sz w:val="25"/>
          <w:szCs w:val="27"/>
          <w14:ligatures w14:val="none"/>
        </w:rPr>
        <w:t>Part A – Minimum standards</w:t>
      </w:r>
    </w:p>
    <w:p w14:paraId="4F98F4D0" w14:textId="3DB2835C" w:rsidR="006A617C" w:rsidRPr="001F00B3" w:rsidRDefault="006A617C">
      <w:r w:rsidRPr="001F00B3">
        <w:t xml:space="preserve">The second column should be used to indicate whether the minimum standard is met. All standards must be met before permission will be granted. The third column requires a brief description of how the minimum standard is met. </w:t>
      </w:r>
    </w:p>
    <w:p w14:paraId="7B7AF5EC" w14:textId="77777777" w:rsidR="006A617C" w:rsidRPr="001F00B3" w:rsidRDefault="006A617C"/>
    <w:tbl>
      <w:tblPr>
        <w:tblStyle w:val="TableGrid"/>
        <w:tblW w:w="0" w:type="auto"/>
        <w:tblLook w:val="04A0" w:firstRow="1" w:lastRow="0" w:firstColumn="1" w:lastColumn="0" w:noHBand="0" w:noVBand="1"/>
      </w:tblPr>
      <w:tblGrid>
        <w:gridCol w:w="4508"/>
        <w:gridCol w:w="4508"/>
      </w:tblGrid>
      <w:tr w:rsidR="00DE67E5" w:rsidRPr="001F00B3" w14:paraId="5B142A7B" w14:textId="77777777" w:rsidTr="00DE67E5">
        <w:tc>
          <w:tcPr>
            <w:tcW w:w="9016" w:type="dxa"/>
            <w:gridSpan w:val="2"/>
            <w:shd w:val="clear" w:color="auto" w:fill="D9D9D9" w:themeFill="background1" w:themeFillShade="D9"/>
          </w:tcPr>
          <w:p w14:paraId="32F0CDCE" w14:textId="40F9A891" w:rsidR="00DE67E5" w:rsidRPr="001F00B3" w:rsidRDefault="00DE67E5">
            <w:pPr>
              <w:rPr>
                <w:b/>
                <w:bCs/>
              </w:rPr>
            </w:pPr>
            <w:r w:rsidRPr="001F00B3">
              <w:rPr>
                <w:b/>
                <w:bCs/>
              </w:rPr>
              <w:t>Application Details</w:t>
            </w:r>
          </w:p>
        </w:tc>
      </w:tr>
      <w:tr w:rsidR="00DE67E5" w:rsidRPr="001F00B3" w14:paraId="355A4884" w14:textId="77777777" w:rsidTr="00DE67E5">
        <w:tc>
          <w:tcPr>
            <w:tcW w:w="4508" w:type="dxa"/>
          </w:tcPr>
          <w:p w14:paraId="2FAE97F0" w14:textId="77777777" w:rsidR="00DE67E5" w:rsidRPr="001F00B3" w:rsidRDefault="00DE67E5"/>
        </w:tc>
        <w:tc>
          <w:tcPr>
            <w:tcW w:w="4508" w:type="dxa"/>
          </w:tcPr>
          <w:p w14:paraId="58079133" w14:textId="10B6BDE3" w:rsidR="00DE67E5" w:rsidRPr="001F00B3" w:rsidRDefault="00DE67E5">
            <w:pPr>
              <w:rPr>
                <w:b/>
                <w:bCs/>
              </w:rPr>
            </w:pPr>
            <w:r w:rsidRPr="001F00B3">
              <w:rPr>
                <w:b/>
                <w:bCs/>
              </w:rPr>
              <w:t>Signature</w:t>
            </w:r>
          </w:p>
        </w:tc>
      </w:tr>
      <w:tr w:rsidR="00DE67E5" w:rsidRPr="001F00B3" w14:paraId="7C41634F" w14:textId="77777777" w:rsidTr="00DE67E5">
        <w:tc>
          <w:tcPr>
            <w:tcW w:w="4508" w:type="dxa"/>
          </w:tcPr>
          <w:p w14:paraId="639CB483" w14:textId="2FEFB982" w:rsidR="00DE67E5" w:rsidRPr="001F00B3" w:rsidRDefault="00DE67E5" w:rsidP="00DE67E5">
            <w:r w:rsidRPr="001F00B3">
              <w:t xml:space="preserve">Attestation by a Senior Management Function (SMF) of compliance with the relevant </w:t>
            </w:r>
            <w:r w:rsidR="00AB1DA4" w:rsidRPr="001F00B3">
              <w:t>minimum standards</w:t>
            </w:r>
            <w:r w:rsidRPr="001F00B3">
              <w:t>.</w:t>
            </w:r>
          </w:p>
        </w:tc>
        <w:sdt>
          <w:sdtPr>
            <w:id w:val="-1800683547"/>
            <w:placeholder>
              <w:docPart w:val="DefaultPlaceholder_-1854013440"/>
            </w:placeholder>
            <w:showingPlcHdr/>
          </w:sdtPr>
          <w:sdtContent>
            <w:tc>
              <w:tcPr>
                <w:tcW w:w="4508" w:type="dxa"/>
              </w:tcPr>
              <w:p w14:paraId="0DC5E726" w14:textId="16899C79" w:rsidR="00DE67E5" w:rsidRPr="001F00B3" w:rsidRDefault="007B7F94">
                <w:r w:rsidRPr="000851DB">
                  <w:rPr>
                    <w:rStyle w:val="PlaceholderText"/>
                  </w:rPr>
                  <w:t>Click or tap here to enter text.</w:t>
                </w:r>
              </w:p>
            </w:tc>
          </w:sdtContent>
        </w:sdt>
      </w:tr>
      <w:tr w:rsidR="00DE67E5" w:rsidRPr="001F00B3" w14:paraId="1B3BA096" w14:textId="77777777" w:rsidTr="00DE67E5">
        <w:tc>
          <w:tcPr>
            <w:tcW w:w="4508" w:type="dxa"/>
          </w:tcPr>
          <w:p w14:paraId="738BCAFA" w14:textId="146C18F9" w:rsidR="00DE67E5" w:rsidRPr="001F00B3" w:rsidRDefault="00DE67E5">
            <w:pPr>
              <w:rPr>
                <w:b/>
                <w:bCs/>
              </w:rPr>
            </w:pPr>
            <w:r w:rsidRPr="001F00B3">
              <w:rPr>
                <w:b/>
                <w:bCs/>
              </w:rPr>
              <w:t>Item</w:t>
            </w:r>
          </w:p>
        </w:tc>
        <w:tc>
          <w:tcPr>
            <w:tcW w:w="4508" w:type="dxa"/>
          </w:tcPr>
          <w:p w14:paraId="54F6CDA2" w14:textId="19A1E4B1" w:rsidR="00DE67E5" w:rsidRPr="001F00B3" w:rsidRDefault="00DE67E5">
            <w:pPr>
              <w:rPr>
                <w:b/>
                <w:bCs/>
              </w:rPr>
            </w:pPr>
            <w:r w:rsidRPr="001F00B3">
              <w:rPr>
                <w:b/>
                <w:bCs/>
              </w:rPr>
              <w:t>Summary information</w:t>
            </w:r>
          </w:p>
        </w:tc>
      </w:tr>
      <w:tr w:rsidR="00DE67E5" w:rsidRPr="001F00B3" w14:paraId="16B956B7" w14:textId="77777777" w:rsidTr="00DE67E5">
        <w:tc>
          <w:tcPr>
            <w:tcW w:w="4508" w:type="dxa"/>
          </w:tcPr>
          <w:p w14:paraId="598C6113" w14:textId="6AC454C9" w:rsidR="00DE67E5" w:rsidRPr="001F00B3" w:rsidRDefault="005F4475">
            <w:r w:rsidRPr="001F00B3">
              <w:t>High-level d</w:t>
            </w:r>
            <w:r w:rsidR="00DE67E5" w:rsidRPr="001F00B3">
              <w:t>escriptions of the positions requested to be excluded</w:t>
            </w:r>
            <w:r w:rsidRPr="001F00B3">
              <w:t>, including at which consolidation level.</w:t>
            </w:r>
          </w:p>
        </w:tc>
        <w:sdt>
          <w:sdtPr>
            <w:id w:val="752945720"/>
            <w:placeholder>
              <w:docPart w:val="DefaultPlaceholder_-1854013440"/>
            </w:placeholder>
            <w:showingPlcHdr/>
          </w:sdtPr>
          <w:sdtContent>
            <w:tc>
              <w:tcPr>
                <w:tcW w:w="4508" w:type="dxa"/>
              </w:tcPr>
              <w:p w14:paraId="7974F3C9" w14:textId="28F95DDA" w:rsidR="00DE67E5" w:rsidRPr="001F00B3" w:rsidRDefault="007B7F94">
                <w:r w:rsidRPr="000851DB">
                  <w:rPr>
                    <w:rStyle w:val="PlaceholderText"/>
                  </w:rPr>
                  <w:t>Click or tap here to enter text.</w:t>
                </w:r>
              </w:p>
            </w:tc>
          </w:sdtContent>
        </w:sdt>
      </w:tr>
    </w:tbl>
    <w:p w14:paraId="713D45CD" w14:textId="77777777" w:rsidR="00DE67E5" w:rsidRPr="001F00B3" w:rsidRDefault="00DE67E5"/>
    <w:tbl>
      <w:tblPr>
        <w:tblStyle w:val="TableGrid"/>
        <w:tblW w:w="0" w:type="auto"/>
        <w:tblLook w:val="04A0" w:firstRow="1" w:lastRow="0" w:firstColumn="1" w:lastColumn="0" w:noHBand="0" w:noVBand="1"/>
      </w:tblPr>
      <w:tblGrid>
        <w:gridCol w:w="3114"/>
        <w:gridCol w:w="1984"/>
        <w:gridCol w:w="3918"/>
      </w:tblGrid>
      <w:tr w:rsidR="008971F4" w:rsidRPr="001F00B3" w14:paraId="78C7E2DB" w14:textId="77777777" w:rsidTr="008971F4">
        <w:tc>
          <w:tcPr>
            <w:tcW w:w="9016" w:type="dxa"/>
            <w:gridSpan w:val="3"/>
            <w:shd w:val="clear" w:color="auto" w:fill="D9D9D9" w:themeFill="background1" w:themeFillShade="D9"/>
          </w:tcPr>
          <w:p w14:paraId="1C9AC6C3" w14:textId="0EEFF8A1" w:rsidR="008971F4" w:rsidRPr="001F00B3" w:rsidRDefault="008971F4">
            <w:pPr>
              <w:rPr>
                <w:b/>
                <w:bCs/>
              </w:rPr>
            </w:pPr>
            <w:bookmarkStart w:id="0" w:name="_Hlk218783549"/>
            <w:r w:rsidRPr="001F00B3">
              <w:rPr>
                <w:b/>
                <w:bCs/>
              </w:rPr>
              <w:t xml:space="preserve">Factors demonstrating that the </w:t>
            </w:r>
            <w:r w:rsidR="00A819E9" w:rsidRPr="001F00B3">
              <w:rPr>
                <w:b/>
                <w:bCs/>
              </w:rPr>
              <w:t xml:space="preserve">minimum standards set out in </w:t>
            </w:r>
            <w:r w:rsidR="00A100FA" w:rsidRPr="001F00B3">
              <w:rPr>
                <w:b/>
                <w:bCs/>
              </w:rPr>
              <w:t xml:space="preserve">Article 325(9) and SS13/13 are </w:t>
            </w:r>
            <w:r w:rsidRPr="001F00B3">
              <w:rPr>
                <w:b/>
                <w:bCs/>
              </w:rPr>
              <w:t>met</w:t>
            </w:r>
            <w:bookmarkEnd w:id="0"/>
          </w:p>
        </w:tc>
      </w:tr>
      <w:tr w:rsidR="008971F4" w:rsidRPr="008971F4" w14:paraId="229409E5" w14:textId="77777777" w:rsidTr="00900668">
        <w:tc>
          <w:tcPr>
            <w:tcW w:w="3114" w:type="dxa"/>
            <w:shd w:val="clear" w:color="auto" w:fill="D9D9D9" w:themeFill="background1" w:themeFillShade="D9"/>
          </w:tcPr>
          <w:p w14:paraId="2756D85B" w14:textId="597D8A63" w:rsidR="008971F4" w:rsidRPr="001F00B3" w:rsidRDefault="00002BD6">
            <w:pPr>
              <w:rPr>
                <w:b/>
                <w:bCs/>
              </w:rPr>
            </w:pPr>
            <w:r w:rsidRPr="001F00B3">
              <w:rPr>
                <w:b/>
                <w:bCs/>
              </w:rPr>
              <w:t xml:space="preserve">Article 325(9) and SS13/13 minimum </w:t>
            </w:r>
            <w:r w:rsidR="008971F4" w:rsidRPr="001F00B3">
              <w:rPr>
                <w:b/>
                <w:bCs/>
              </w:rPr>
              <w:t>standard</w:t>
            </w:r>
          </w:p>
        </w:tc>
        <w:tc>
          <w:tcPr>
            <w:tcW w:w="1984" w:type="dxa"/>
            <w:shd w:val="clear" w:color="auto" w:fill="D9D9D9" w:themeFill="background1" w:themeFillShade="D9"/>
          </w:tcPr>
          <w:p w14:paraId="0014D72E" w14:textId="77777777" w:rsidR="008971F4" w:rsidRPr="001F00B3" w:rsidRDefault="008971F4">
            <w:pPr>
              <w:rPr>
                <w:b/>
                <w:bCs/>
              </w:rPr>
            </w:pPr>
            <w:r w:rsidRPr="001F00B3">
              <w:rPr>
                <w:b/>
                <w:bCs/>
              </w:rPr>
              <w:t>Meets standard?</w:t>
            </w:r>
          </w:p>
          <w:p w14:paraId="49B6EB02" w14:textId="13B3F6DB" w:rsidR="008971F4" w:rsidRPr="001F00B3" w:rsidRDefault="008971F4">
            <w:pPr>
              <w:rPr>
                <w:b/>
                <w:bCs/>
              </w:rPr>
            </w:pPr>
            <w:r w:rsidRPr="001F00B3">
              <w:rPr>
                <w:b/>
                <w:bCs/>
              </w:rPr>
              <w:t>(Yes/No)</w:t>
            </w:r>
          </w:p>
        </w:tc>
        <w:tc>
          <w:tcPr>
            <w:tcW w:w="3918" w:type="dxa"/>
            <w:shd w:val="clear" w:color="auto" w:fill="D9D9D9" w:themeFill="background1" w:themeFillShade="D9"/>
          </w:tcPr>
          <w:p w14:paraId="664AAC05" w14:textId="4B31F354" w:rsidR="008971F4" w:rsidRPr="001F00B3" w:rsidRDefault="008971F4">
            <w:pPr>
              <w:rPr>
                <w:b/>
                <w:bCs/>
              </w:rPr>
            </w:pPr>
            <w:r w:rsidRPr="001F00B3">
              <w:rPr>
                <w:b/>
                <w:bCs/>
              </w:rPr>
              <w:t>FIRM ANALYSIS</w:t>
            </w:r>
            <w:r w:rsidR="00F458EF" w:rsidRPr="001F00B3">
              <w:rPr>
                <w:b/>
                <w:bCs/>
              </w:rPr>
              <w:t>/COMMENT</w:t>
            </w:r>
          </w:p>
          <w:p w14:paraId="3E5786EE" w14:textId="77777777" w:rsidR="008971F4" w:rsidRPr="001F00B3" w:rsidRDefault="008971F4">
            <w:pPr>
              <w:rPr>
                <w:b/>
                <w:bCs/>
              </w:rPr>
            </w:pPr>
          </w:p>
          <w:p w14:paraId="09627E4D" w14:textId="229C3811" w:rsidR="008971F4" w:rsidRPr="008971F4" w:rsidRDefault="008971F4">
            <w:pPr>
              <w:rPr>
                <w:i/>
                <w:iCs/>
              </w:rPr>
            </w:pPr>
            <w:r w:rsidRPr="001F00B3">
              <w:rPr>
                <w:i/>
                <w:iCs/>
              </w:rPr>
              <w:t>Please demonstrate using examples where appropriate how the minimum standards are met</w:t>
            </w:r>
          </w:p>
        </w:tc>
      </w:tr>
      <w:tr w:rsidR="008971F4" w:rsidRPr="00265E17" w14:paraId="1276BE52" w14:textId="77777777" w:rsidTr="00900668">
        <w:tc>
          <w:tcPr>
            <w:tcW w:w="3114" w:type="dxa"/>
          </w:tcPr>
          <w:p w14:paraId="3DD1C24F" w14:textId="4032DB65" w:rsidR="006E6FBB" w:rsidRDefault="00A81D01">
            <w:pPr>
              <w:rPr>
                <w:sz w:val="22"/>
                <w:szCs w:val="22"/>
              </w:rPr>
            </w:pPr>
            <w:r w:rsidRPr="00265E17">
              <w:rPr>
                <w:sz w:val="22"/>
                <w:szCs w:val="22"/>
              </w:rPr>
              <w:t xml:space="preserve">Structural FX positions are deliberately taken </w:t>
            </w:r>
            <w:r w:rsidR="006E6FBB">
              <w:rPr>
                <w:sz w:val="22"/>
                <w:szCs w:val="22"/>
              </w:rPr>
              <w:t xml:space="preserve">or maintained for the purpose of hedging partially or totally against the potential that changes in FX rates could have an adverse effect on capital ratios. </w:t>
            </w:r>
          </w:p>
          <w:p w14:paraId="244C5954" w14:textId="265461E1" w:rsidR="006E6FBB" w:rsidRPr="00265E17" w:rsidRDefault="006E6FBB">
            <w:pPr>
              <w:rPr>
                <w:sz w:val="22"/>
                <w:szCs w:val="22"/>
              </w:rPr>
            </w:pPr>
          </w:p>
        </w:tc>
        <w:sdt>
          <w:sdtPr>
            <w:rPr>
              <w:sz w:val="22"/>
              <w:szCs w:val="22"/>
            </w:rPr>
            <w:id w:val="-760451895"/>
            <w:placeholder>
              <w:docPart w:val="DefaultPlaceholder_-1854013440"/>
            </w:placeholder>
            <w:showingPlcHdr/>
            <w:text/>
          </w:sdtPr>
          <w:sdtContent>
            <w:tc>
              <w:tcPr>
                <w:tcW w:w="1984" w:type="dxa"/>
              </w:tcPr>
              <w:p w14:paraId="200BBBC4" w14:textId="51217925" w:rsidR="008971F4" w:rsidRPr="00265E17" w:rsidRDefault="000E1D0E">
                <w:pPr>
                  <w:rPr>
                    <w:sz w:val="22"/>
                    <w:szCs w:val="22"/>
                  </w:rPr>
                </w:pPr>
                <w:r w:rsidRPr="000851DB">
                  <w:rPr>
                    <w:rStyle w:val="PlaceholderText"/>
                  </w:rPr>
                  <w:t>Click or tap here to enter text.</w:t>
                </w:r>
              </w:p>
            </w:tc>
          </w:sdtContent>
        </w:sdt>
        <w:sdt>
          <w:sdtPr>
            <w:rPr>
              <w:sz w:val="22"/>
              <w:szCs w:val="22"/>
            </w:rPr>
            <w:id w:val="-1442365863"/>
            <w:placeholder>
              <w:docPart w:val="DefaultPlaceholder_-1854013440"/>
            </w:placeholder>
            <w:showingPlcHdr/>
          </w:sdtPr>
          <w:sdtContent>
            <w:tc>
              <w:tcPr>
                <w:tcW w:w="3918" w:type="dxa"/>
              </w:tcPr>
              <w:p w14:paraId="7D2F1648" w14:textId="1E801436" w:rsidR="008971F4" w:rsidRPr="00265E17" w:rsidRDefault="000E1D0E">
                <w:pPr>
                  <w:rPr>
                    <w:sz w:val="22"/>
                    <w:szCs w:val="22"/>
                  </w:rPr>
                </w:pPr>
                <w:r w:rsidRPr="000851DB">
                  <w:rPr>
                    <w:rStyle w:val="PlaceholderText"/>
                  </w:rPr>
                  <w:t>Click or tap here to enter text.</w:t>
                </w:r>
              </w:p>
            </w:tc>
          </w:sdtContent>
        </w:sdt>
      </w:tr>
      <w:tr w:rsidR="008971F4" w:rsidRPr="00265E17" w14:paraId="62867A90" w14:textId="77777777" w:rsidTr="00900668">
        <w:tc>
          <w:tcPr>
            <w:tcW w:w="3114" w:type="dxa"/>
          </w:tcPr>
          <w:p w14:paraId="66B89BF8" w14:textId="7A178CF3" w:rsidR="008971F4" w:rsidRDefault="00A81D01">
            <w:pPr>
              <w:rPr>
                <w:sz w:val="22"/>
                <w:szCs w:val="22"/>
              </w:rPr>
            </w:pPr>
            <w:r w:rsidRPr="00265E17">
              <w:rPr>
                <w:sz w:val="22"/>
                <w:szCs w:val="22"/>
              </w:rPr>
              <w:lastRenderedPageBreak/>
              <w:t>Positions are of a non-</w:t>
            </w:r>
            <w:r w:rsidR="006E6FBB">
              <w:rPr>
                <w:sz w:val="22"/>
                <w:szCs w:val="22"/>
              </w:rPr>
              <w:t>dealing</w:t>
            </w:r>
            <w:r w:rsidR="006E6FBB" w:rsidRPr="00265E17">
              <w:rPr>
                <w:sz w:val="22"/>
                <w:szCs w:val="22"/>
              </w:rPr>
              <w:t xml:space="preserve"> </w:t>
            </w:r>
            <w:r w:rsidRPr="00265E17">
              <w:rPr>
                <w:sz w:val="22"/>
                <w:szCs w:val="22"/>
              </w:rPr>
              <w:t>or structural nature.</w:t>
            </w:r>
          </w:p>
          <w:p w14:paraId="4DD8042E" w14:textId="77777777" w:rsidR="006E6FBB" w:rsidRDefault="006E6FBB">
            <w:pPr>
              <w:rPr>
                <w:sz w:val="22"/>
                <w:szCs w:val="22"/>
              </w:rPr>
            </w:pPr>
          </w:p>
          <w:p w14:paraId="7070147F" w14:textId="5549BECD" w:rsidR="006E6FBB" w:rsidRPr="00265E17" w:rsidRDefault="006E6FBB">
            <w:pPr>
              <w:rPr>
                <w:sz w:val="22"/>
                <w:szCs w:val="22"/>
              </w:rPr>
            </w:pPr>
          </w:p>
        </w:tc>
        <w:sdt>
          <w:sdtPr>
            <w:rPr>
              <w:sz w:val="22"/>
              <w:szCs w:val="22"/>
            </w:rPr>
            <w:id w:val="-2079427570"/>
            <w:placeholder>
              <w:docPart w:val="DefaultPlaceholder_-1854013440"/>
            </w:placeholder>
            <w:showingPlcHdr/>
          </w:sdtPr>
          <w:sdtContent>
            <w:tc>
              <w:tcPr>
                <w:tcW w:w="1984" w:type="dxa"/>
              </w:tcPr>
              <w:p w14:paraId="16CF3BA2" w14:textId="4F61E82B" w:rsidR="008971F4" w:rsidRPr="00265E17" w:rsidRDefault="000E1D0E">
                <w:pPr>
                  <w:rPr>
                    <w:sz w:val="22"/>
                    <w:szCs w:val="22"/>
                  </w:rPr>
                </w:pPr>
                <w:r w:rsidRPr="000851DB">
                  <w:rPr>
                    <w:rStyle w:val="PlaceholderText"/>
                  </w:rPr>
                  <w:t>Click or tap here to enter text.</w:t>
                </w:r>
              </w:p>
            </w:tc>
          </w:sdtContent>
        </w:sdt>
        <w:sdt>
          <w:sdtPr>
            <w:rPr>
              <w:sz w:val="22"/>
              <w:szCs w:val="22"/>
            </w:rPr>
            <w:id w:val="-1350330023"/>
            <w:placeholder>
              <w:docPart w:val="DefaultPlaceholder_-1854013440"/>
            </w:placeholder>
            <w:showingPlcHdr/>
          </w:sdtPr>
          <w:sdtContent>
            <w:tc>
              <w:tcPr>
                <w:tcW w:w="3918" w:type="dxa"/>
              </w:tcPr>
              <w:p w14:paraId="272F741E" w14:textId="2250ED55" w:rsidR="008971F4" w:rsidRPr="00265E17" w:rsidRDefault="005767C8">
                <w:pPr>
                  <w:rPr>
                    <w:sz w:val="22"/>
                    <w:szCs w:val="22"/>
                  </w:rPr>
                </w:pPr>
                <w:r w:rsidRPr="000851DB">
                  <w:rPr>
                    <w:rStyle w:val="PlaceholderText"/>
                  </w:rPr>
                  <w:t>Click or tap here to enter text.</w:t>
                </w:r>
              </w:p>
            </w:tc>
          </w:sdtContent>
        </w:sdt>
      </w:tr>
      <w:tr w:rsidR="006E6FBB" w:rsidRPr="00265E17" w14:paraId="74815A5B" w14:textId="77777777" w:rsidTr="00900668">
        <w:tc>
          <w:tcPr>
            <w:tcW w:w="3114" w:type="dxa"/>
          </w:tcPr>
          <w:p w14:paraId="45AC27A7" w14:textId="1984FA1C" w:rsidR="006E6FBB" w:rsidRPr="00265E17" w:rsidRDefault="00596162">
            <w:pPr>
              <w:rPr>
                <w:sz w:val="22"/>
                <w:szCs w:val="22"/>
              </w:rPr>
            </w:pPr>
            <w:r>
              <w:rPr>
                <w:sz w:val="22"/>
                <w:szCs w:val="22"/>
              </w:rPr>
              <w:t>The amount of the risk position excluded is limited to the amount that neutralises the sensitivity of the capital ratio to movements in FX rates.</w:t>
            </w:r>
          </w:p>
        </w:tc>
        <w:sdt>
          <w:sdtPr>
            <w:rPr>
              <w:sz w:val="22"/>
              <w:szCs w:val="22"/>
            </w:rPr>
            <w:id w:val="209158876"/>
            <w:placeholder>
              <w:docPart w:val="DefaultPlaceholder_-1854013440"/>
            </w:placeholder>
            <w:showingPlcHdr/>
            <w:text/>
          </w:sdtPr>
          <w:sdtContent>
            <w:tc>
              <w:tcPr>
                <w:tcW w:w="1984" w:type="dxa"/>
              </w:tcPr>
              <w:p w14:paraId="787A1D09" w14:textId="4DFF8636" w:rsidR="006E6FBB" w:rsidRPr="00265E17" w:rsidRDefault="005767C8">
                <w:pPr>
                  <w:rPr>
                    <w:sz w:val="22"/>
                    <w:szCs w:val="22"/>
                  </w:rPr>
                </w:pPr>
                <w:r w:rsidRPr="000851DB">
                  <w:rPr>
                    <w:rStyle w:val="PlaceholderText"/>
                  </w:rPr>
                  <w:t>Click or tap here to enter text.</w:t>
                </w:r>
              </w:p>
            </w:tc>
          </w:sdtContent>
        </w:sdt>
        <w:sdt>
          <w:sdtPr>
            <w:rPr>
              <w:sz w:val="22"/>
              <w:szCs w:val="22"/>
            </w:rPr>
            <w:id w:val="622650980"/>
            <w:placeholder>
              <w:docPart w:val="DefaultPlaceholder_-1854013440"/>
            </w:placeholder>
            <w:showingPlcHdr/>
          </w:sdtPr>
          <w:sdtContent>
            <w:tc>
              <w:tcPr>
                <w:tcW w:w="3918" w:type="dxa"/>
              </w:tcPr>
              <w:p w14:paraId="7FB8EDA2" w14:textId="7DE914AB" w:rsidR="006E6FBB" w:rsidRPr="00265E17" w:rsidRDefault="005767C8">
                <w:pPr>
                  <w:rPr>
                    <w:sz w:val="22"/>
                    <w:szCs w:val="22"/>
                  </w:rPr>
                </w:pPr>
                <w:r w:rsidRPr="000851DB">
                  <w:rPr>
                    <w:rStyle w:val="PlaceholderText"/>
                  </w:rPr>
                  <w:t>Click or tap here to enter text.</w:t>
                </w:r>
              </w:p>
            </w:tc>
          </w:sdtContent>
        </w:sdt>
      </w:tr>
      <w:tr w:rsidR="00596162" w:rsidRPr="00265E17" w14:paraId="12EDDB56" w14:textId="77777777" w:rsidTr="00900668">
        <w:tc>
          <w:tcPr>
            <w:tcW w:w="3114" w:type="dxa"/>
          </w:tcPr>
          <w:p w14:paraId="2F8E7364" w14:textId="77777777" w:rsidR="00596162" w:rsidRDefault="00596162">
            <w:pPr>
              <w:rPr>
                <w:sz w:val="22"/>
                <w:szCs w:val="22"/>
              </w:rPr>
            </w:pPr>
            <w:r>
              <w:rPr>
                <w:sz w:val="22"/>
                <w:szCs w:val="22"/>
              </w:rPr>
              <w:t>The risk positions are excluded from the calculation of own funds requirements for at least six months.</w:t>
            </w:r>
          </w:p>
          <w:p w14:paraId="676A67B0" w14:textId="77777777" w:rsidR="00596162" w:rsidRDefault="00596162">
            <w:pPr>
              <w:rPr>
                <w:sz w:val="22"/>
                <w:szCs w:val="22"/>
              </w:rPr>
            </w:pPr>
          </w:p>
          <w:p w14:paraId="17869914" w14:textId="1EEB516D" w:rsidR="00596162" w:rsidRDefault="00596162">
            <w:pPr>
              <w:rPr>
                <w:sz w:val="22"/>
                <w:szCs w:val="22"/>
              </w:rPr>
            </w:pPr>
          </w:p>
        </w:tc>
        <w:sdt>
          <w:sdtPr>
            <w:rPr>
              <w:sz w:val="22"/>
              <w:szCs w:val="22"/>
            </w:rPr>
            <w:id w:val="2057973794"/>
            <w:placeholder>
              <w:docPart w:val="DefaultPlaceholder_-1854013440"/>
            </w:placeholder>
            <w:showingPlcHdr/>
            <w:text/>
          </w:sdtPr>
          <w:sdtContent>
            <w:tc>
              <w:tcPr>
                <w:tcW w:w="1984" w:type="dxa"/>
              </w:tcPr>
              <w:p w14:paraId="21AB6198" w14:textId="733324DF" w:rsidR="00596162" w:rsidRPr="00265E17" w:rsidRDefault="005767C8">
                <w:pPr>
                  <w:rPr>
                    <w:sz w:val="22"/>
                    <w:szCs w:val="22"/>
                  </w:rPr>
                </w:pPr>
                <w:r w:rsidRPr="000851DB">
                  <w:rPr>
                    <w:rStyle w:val="PlaceholderText"/>
                  </w:rPr>
                  <w:t>Click or tap here to enter text.</w:t>
                </w:r>
              </w:p>
            </w:tc>
          </w:sdtContent>
        </w:sdt>
        <w:sdt>
          <w:sdtPr>
            <w:rPr>
              <w:sz w:val="22"/>
              <w:szCs w:val="22"/>
            </w:rPr>
            <w:id w:val="2067534079"/>
            <w:placeholder>
              <w:docPart w:val="DefaultPlaceholder_-1854013440"/>
            </w:placeholder>
            <w:showingPlcHdr/>
          </w:sdtPr>
          <w:sdtContent>
            <w:tc>
              <w:tcPr>
                <w:tcW w:w="3918" w:type="dxa"/>
              </w:tcPr>
              <w:p w14:paraId="46CBC914" w14:textId="26EDBE11" w:rsidR="00596162" w:rsidRPr="00265E17" w:rsidRDefault="005767C8">
                <w:pPr>
                  <w:rPr>
                    <w:sz w:val="22"/>
                    <w:szCs w:val="22"/>
                  </w:rPr>
                </w:pPr>
                <w:r w:rsidRPr="000851DB">
                  <w:rPr>
                    <w:rStyle w:val="PlaceholderText"/>
                  </w:rPr>
                  <w:t>Click or tap here to enter text.</w:t>
                </w:r>
              </w:p>
            </w:tc>
          </w:sdtContent>
        </w:sdt>
      </w:tr>
      <w:tr w:rsidR="00596162" w:rsidRPr="00265E17" w14:paraId="516C7AF8" w14:textId="77777777" w:rsidTr="00900668">
        <w:tc>
          <w:tcPr>
            <w:tcW w:w="3114" w:type="dxa"/>
          </w:tcPr>
          <w:p w14:paraId="03EE1814" w14:textId="77777777" w:rsidR="00596162" w:rsidRDefault="00596162">
            <w:pPr>
              <w:rPr>
                <w:sz w:val="22"/>
                <w:szCs w:val="22"/>
              </w:rPr>
            </w:pPr>
            <w:r>
              <w:rPr>
                <w:sz w:val="22"/>
                <w:szCs w:val="22"/>
              </w:rPr>
              <w:t>The risk positions excluded are established and managed in accordance with a clear risk management policy that the PRA has approved.</w:t>
            </w:r>
          </w:p>
          <w:p w14:paraId="3A23C03C" w14:textId="4C420897" w:rsidR="00596162" w:rsidRDefault="00596162">
            <w:pPr>
              <w:rPr>
                <w:sz w:val="22"/>
                <w:szCs w:val="22"/>
              </w:rPr>
            </w:pPr>
          </w:p>
        </w:tc>
        <w:sdt>
          <w:sdtPr>
            <w:rPr>
              <w:sz w:val="22"/>
              <w:szCs w:val="22"/>
            </w:rPr>
            <w:id w:val="-343099133"/>
            <w:placeholder>
              <w:docPart w:val="DefaultPlaceholder_-1854013440"/>
            </w:placeholder>
            <w:showingPlcHdr/>
            <w:text/>
          </w:sdtPr>
          <w:sdtContent>
            <w:tc>
              <w:tcPr>
                <w:tcW w:w="1984" w:type="dxa"/>
              </w:tcPr>
              <w:p w14:paraId="0892A128" w14:textId="0F63EAF9" w:rsidR="00596162" w:rsidRPr="00265E17" w:rsidRDefault="005767C8">
                <w:pPr>
                  <w:rPr>
                    <w:sz w:val="22"/>
                    <w:szCs w:val="22"/>
                  </w:rPr>
                </w:pPr>
                <w:r w:rsidRPr="000851DB">
                  <w:rPr>
                    <w:rStyle w:val="PlaceholderText"/>
                  </w:rPr>
                  <w:t>Click or tap here to enter text.</w:t>
                </w:r>
              </w:p>
            </w:tc>
          </w:sdtContent>
        </w:sdt>
        <w:sdt>
          <w:sdtPr>
            <w:rPr>
              <w:sz w:val="22"/>
              <w:szCs w:val="22"/>
            </w:rPr>
            <w:id w:val="-1265768153"/>
            <w:placeholder>
              <w:docPart w:val="DefaultPlaceholder_-1854013440"/>
            </w:placeholder>
            <w:showingPlcHdr/>
          </w:sdtPr>
          <w:sdtContent>
            <w:tc>
              <w:tcPr>
                <w:tcW w:w="3918" w:type="dxa"/>
              </w:tcPr>
              <w:p w14:paraId="7C3D2975" w14:textId="75AC29B6" w:rsidR="00596162" w:rsidRPr="00265E17" w:rsidRDefault="005767C8">
                <w:pPr>
                  <w:rPr>
                    <w:sz w:val="22"/>
                    <w:szCs w:val="22"/>
                  </w:rPr>
                </w:pPr>
                <w:r w:rsidRPr="000851DB">
                  <w:rPr>
                    <w:rStyle w:val="PlaceholderText"/>
                  </w:rPr>
                  <w:t>Click or tap here to enter text.</w:t>
                </w:r>
              </w:p>
            </w:tc>
          </w:sdtContent>
        </w:sdt>
      </w:tr>
      <w:tr w:rsidR="00596162" w:rsidRPr="00265E17" w14:paraId="00EADDDD" w14:textId="77777777" w:rsidTr="00900668">
        <w:tc>
          <w:tcPr>
            <w:tcW w:w="3114" w:type="dxa"/>
          </w:tcPr>
          <w:p w14:paraId="1D22BDF7" w14:textId="77777777" w:rsidR="00596162" w:rsidRDefault="00596162">
            <w:pPr>
              <w:rPr>
                <w:sz w:val="22"/>
                <w:szCs w:val="22"/>
              </w:rPr>
            </w:pPr>
            <w:r>
              <w:rPr>
                <w:sz w:val="22"/>
                <w:szCs w:val="22"/>
              </w:rPr>
              <w:t>The risk positions excluded are documented and can be made available to the PRA.</w:t>
            </w:r>
          </w:p>
          <w:p w14:paraId="201F99D2" w14:textId="77777777" w:rsidR="00596162" w:rsidRDefault="00596162">
            <w:pPr>
              <w:rPr>
                <w:sz w:val="22"/>
                <w:szCs w:val="22"/>
              </w:rPr>
            </w:pPr>
          </w:p>
          <w:p w14:paraId="37DD433C" w14:textId="5C44774B" w:rsidR="00596162" w:rsidRDefault="00596162">
            <w:pPr>
              <w:rPr>
                <w:sz w:val="22"/>
                <w:szCs w:val="22"/>
              </w:rPr>
            </w:pPr>
          </w:p>
        </w:tc>
        <w:sdt>
          <w:sdtPr>
            <w:rPr>
              <w:sz w:val="22"/>
              <w:szCs w:val="22"/>
            </w:rPr>
            <w:id w:val="-1447226830"/>
            <w:placeholder>
              <w:docPart w:val="DefaultPlaceholder_-1854013440"/>
            </w:placeholder>
            <w:showingPlcHdr/>
            <w:text/>
          </w:sdtPr>
          <w:sdtContent>
            <w:tc>
              <w:tcPr>
                <w:tcW w:w="1984" w:type="dxa"/>
              </w:tcPr>
              <w:p w14:paraId="3E691755" w14:textId="2AACCA1B" w:rsidR="00596162" w:rsidRPr="00265E17" w:rsidRDefault="005767C8">
                <w:pPr>
                  <w:rPr>
                    <w:sz w:val="22"/>
                    <w:szCs w:val="22"/>
                  </w:rPr>
                </w:pPr>
                <w:r w:rsidRPr="000851DB">
                  <w:rPr>
                    <w:rStyle w:val="PlaceholderText"/>
                  </w:rPr>
                  <w:t>Click or tap here to enter text.</w:t>
                </w:r>
              </w:p>
            </w:tc>
          </w:sdtContent>
        </w:sdt>
        <w:sdt>
          <w:sdtPr>
            <w:rPr>
              <w:sz w:val="22"/>
              <w:szCs w:val="22"/>
            </w:rPr>
            <w:id w:val="1582106459"/>
            <w:placeholder>
              <w:docPart w:val="DefaultPlaceholder_-1854013440"/>
            </w:placeholder>
            <w:showingPlcHdr/>
          </w:sdtPr>
          <w:sdtContent>
            <w:tc>
              <w:tcPr>
                <w:tcW w:w="3918" w:type="dxa"/>
              </w:tcPr>
              <w:p w14:paraId="60B0FD1B" w14:textId="41C1CAE4" w:rsidR="00596162" w:rsidRPr="00265E17" w:rsidRDefault="005767C8">
                <w:pPr>
                  <w:rPr>
                    <w:sz w:val="22"/>
                    <w:szCs w:val="22"/>
                  </w:rPr>
                </w:pPr>
                <w:r w:rsidRPr="000851DB">
                  <w:rPr>
                    <w:rStyle w:val="PlaceholderText"/>
                  </w:rPr>
                  <w:t>Click or tap here to enter text.</w:t>
                </w:r>
              </w:p>
            </w:tc>
          </w:sdtContent>
        </w:sdt>
      </w:tr>
      <w:tr w:rsidR="00596162" w:rsidRPr="00265E17" w14:paraId="09DA1C0D" w14:textId="77777777" w:rsidTr="00900668">
        <w:tc>
          <w:tcPr>
            <w:tcW w:w="3114" w:type="dxa"/>
          </w:tcPr>
          <w:p w14:paraId="0618890D" w14:textId="6DBA2818" w:rsidR="00596162" w:rsidRDefault="00596162">
            <w:pPr>
              <w:rPr>
                <w:sz w:val="22"/>
                <w:szCs w:val="22"/>
              </w:rPr>
            </w:pPr>
            <w:r>
              <w:rPr>
                <w:sz w:val="22"/>
                <w:szCs w:val="22"/>
              </w:rPr>
              <w:t>Trading books and non-trading books containing the risk positions excluded are segregated from all other trading activities.</w:t>
            </w:r>
          </w:p>
          <w:p w14:paraId="1C758804" w14:textId="77777777" w:rsidR="00596162" w:rsidRDefault="00596162">
            <w:pPr>
              <w:rPr>
                <w:sz w:val="22"/>
                <w:szCs w:val="22"/>
              </w:rPr>
            </w:pPr>
          </w:p>
          <w:p w14:paraId="0A3D61C2" w14:textId="61644AB0" w:rsidR="00596162" w:rsidRDefault="00596162">
            <w:pPr>
              <w:rPr>
                <w:sz w:val="22"/>
                <w:szCs w:val="22"/>
              </w:rPr>
            </w:pPr>
          </w:p>
        </w:tc>
        <w:sdt>
          <w:sdtPr>
            <w:rPr>
              <w:sz w:val="22"/>
              <w:szCs w:val="22"/>
            </w:rPr>
            <w:id w:val="-1099023173"/>
            <w:placeholder>
              <w:docPart w:val="DefaultPlaceholder_-1854013440"/>
            </w:placeholder>
            <w:showingPlcHdr/>
            <w:text/>
          </w:sdtPr>
          <w:sdtContent>
            <w:tc>
              <w:tcPr>
                <w:tcW w:w="1984" w:type="dxa"/>
              </w:tcPr>
              <w:p w14:paraId="6FDC0499" w14:textId="1913D8CF" w:rsidR="00596162" w:rsidRPr="00265E17" w:rsidRDefault="005767C8">
                <w:pPr>
                  <w:rPr>
                    <w:sz w:val="22"/>
                    <w:szCs w:val="22"/>
                  </w:rPr>
                </w:pPr>
                <w:r w:rsidRPr="000851DB">
                  <w:rPr>
                    <w:rStyle w:val="PlaceholderText"/>
                  </w:rPr>
                  <w:t>Click or tap here to enter text.</w:t>
                </w:r>
              </w:p>
            </w:tc>
          </w:sdtContent>
        </w:sdt>
        <w:sdt>
          <w:sdtPr>
            <w:rPr>
              <w:sz w:val="22"/>
              <w:szCs w:val="22"/>
            </w:rPr>
            <w:id w:val="597994040"/>
            <w:placeholder>
              <w:docPart w:val="DefaultPlaceholder_-1854013440"/>
            </w:placeholder>
            <w:showingPlcHdr/>
          </w:sdtPr>
          <w:sdtContent>
            <w:tc>
              <w:tcPr>
                <w:tcW w:w="3918" w:type="dxa"/>
              </w:tcPr>
              <w:p w14:paraId="66A95977" w14:textId="3C831A59" w:rsidR="00596162" w:rsidRPr="00265E17" w:rsidRDefault="005767C8">
                <w:pPr>
                  <w:rPr>
                    <w:sz w:val="22"/>
                    <w:szCs w:val="22"/>
                  </w:rPr>
                </w:pPr>
                <w:r w:rsidRPr="000851DB">
                  <w:rPr>
                    <w:rStyle w:val="PlaceholderText"/>
                  </w:rPr>
                  <w:t>Click or tap here to enter text.</w:t>
                </w:r>
              </w:p>
            </w:tc>
          </w:sdtContent>
        </w:sdt>
      </w:tr>
      <w:tr w:rsidR="008971F4" w:rsidRPr="00265E17" w14:paraId="1A37CA4D" w14:textId="77777777" w:rsidTr="00900668">
        <w:tc>
          <w:tcPr>
            <w:tcW w:w="3114" w:type="dxa"/>
          </w:tcPr>
          <w:p w14:paraId="5C18D415" w14:textId="1CCC08ED" w:rsidR="008971F4" w:rsidRPr="00265E17" w:rsidRDefault="00A81D01">
            <w:pPr>
              <w:rPr>
                <w:sz w:val="22"/>
                <w:szCs w:val="22"/>
              </w:rPr>
            </w:pPr>
            <w:r w:rsidRPr="00265E17">
              <w:rPr>
                <w:sz w:val="22"/>
                <w:szCs w:val="22"/>
              </w:rPr>
              <w:t xml:space="preserve">Mismatches resulting in an open </w:t>
            </w:r>
            <w:r w:rsidR="00FD7959">
              <w:rPr>
                <w:sz w:val="22"/>
                <w:szCs w:val="22"/>
              </w:rPr>
              <w:t xml:space="preserve">structural FX </w:t>
            </w:r>
            <w:r w:rsidRPr="00265E17">
              <w:rPr>
                <w:sz w:val="22"/>
                <w:szCs w:val="22"/>
              </w:rPr>
              <w:t xml:space="preserve">position </w:t>
            </w:r>
            <w:r w:rsidR="00FD7959">
              <w:rPr>
                <w:sz w:val="22"/>
                <w:szCs w:val="22"/>
              </w:rPr>
              <w:t xml:space="preserve">(other than those open structural FX positions deliberately taken or maintained to protect capital ratios) </w:t>
            </w:r>
            <w:r w:rsidRPr="00265E17">
              <w:rPr>
                <w:sz w:val="22"/>
                <w:szCs w:val="22"/>
              </w:rPr>
              <w:t>are avoided as far as possible.</w:t>
            </w:r>
          </w:p>
        </w:tc>
        <w:sdt>
          <w:sdtPr>
            <w:rPr>
              <w:sz w:val="22"/>
              <w:szCs w:val="22"/>
            </w:rPr>
            <w:id w:val="-1456247390"/>
            <w:placeholder>
              <w:docPart w:val="DefaultPlaceholder_-1854013440"/>
            </w:placeholder>
            <w:showingPlcHdr/>
            <w:text/>
          </w:sdtPr>
          <w:sdtContent>
            <w:tc>
              <w:tcPr>
                <w:tcW w:w="1984" w:type="dxa"/>
              </w:tcPr>
              <w:p w14:paraId="3F8D0771" w14:textId="20C6DBD3" w:rsidR="008971F4" w:rsidRPr="00265E17" w:rsidRDefault="005767C8">
                <w:pPr>
                  <w:rPr>
                    <w:sz w:val="22"/>
                    <w:szCs w:val="22"/>
                  </w:rPr>
                </w:pPr>
                <w:r w:rsidRPr="000851DB">
                  <w:rPr>
                    <w:rStyle w:val="PlaceholderText"/>
                  </w:rPr>
                  <w:t>Click or tap here to enter text.</w:t>
                </w:r>
              </w:p>
            </w:tc>
          </w:sdtContent>
        </w:sdt>
        <w:sdt>
          <w:sdtPr>
            <w:rPr>
              <w:sz w:val="22"/>
              <w:szCs w:val="22"/>
            </w:rPr>
            <w:id w:val="1780446601"/>
            <w:placeholder>
              <w:docPart w:val="DefaultPlaceholder_-1854013440"/>
            </w:placeholder>
            <w:showingPlcHdr/>
          </w:sdtPr>
          <w:sdtContent>
            <w:tc>
              <w:tcPr>
                <w:tcW w:w="3918" w:type="dxa"/>
              </w:tcPr>
              <w:p w14:paraId="20633D6A" w14:textId="2EA6F2E5" w:rsidR="008971F4" w:rsidRPr="00265E17" w:rsidRDefault="005767C8">
                <w:pPr>
                  <w:rPr>
                    <w:sz w:val="22"/>
                    <w:szCs w:val="22"/>
                  </w:rPr>
                </w:pPr>
                <w:r w:rsidRPr="000851DB">
                  <w:rPr>
                    <w:rStyle w:val="PlaceholderText"/>
                  </w:rPr>
                  <w:t>Click or tap here to enter text.</w:t>
                </w:r>
              </w:p>
            </w:tc>
          </w:sdtContent>
        </w:sdt>
      </w:tr>
      <w:tr w:rsidR="008971F4" w:rsidRPr="00265E17" w14:paraId="5C0DA726" w14:textId="77777777" w:rsidTr="00900668">
        <w:tc>
          <w:tcPr>
            <w:tcW w:w="3114" w:type="dxa"/>
          </w:tcPr>
          <w:p w14:paraId="3462D178" w14:textId="77777777" w:rsidR="008971F4" w:rsidRDefault="00900668">
            <w:pPr>
              <w:rPr>
                <w:sz w:val="22"/>
                <w:szCs w:val="22"/>
              </w:rPr>
            </w:pPr>
            <w:r w:rsidRPr="00265E17">
              <w:rPr>
                <w:sz w:val="22"/>
                <w:szCs w:val="22"/>
              </w:rPr>
              <w:t>Positions are accounted for so that capital ratios are protected.</w:t>
            </w:r>
          </w:p>
          <w:p w14:paraId="16EA5AD7" w14:textId="77777777" w:rsidR="00FD7959" w:rsidRDefault="00FD7959">
            <w:pPr>
              <w:rPr>
                <w:sz w:val="22"/>
                <w:szCs w:val="22"/>
              </w:rPr>
            </w:pPr>
          </w:p>
          <w:p w14:paraId="6958A7B0" w14:textId="6D64D313" w:rsidR="00FD7959" w:rsidRPr="00265E17" w:rsidRDefault="00FD7959">
            <w:pPr>
              <w:rPr>
                <w:sz w:val="22"/>
                <w:szCs w:val="22"/>
              </w:rPr>
            </w:pPr>
          </w:p>
        </w:tc>
        <w:sdt>
          <w:sdtPr>
            <w:rPr>
              <w:sz w:val="22"/>
              <w:szCs w:val="22"/>
            </w:rPr>
            <w:id w:val="-1149428786"/>
            <w:placeholder>
              <w:docPart w:val="DefaultPlaceholder_-1854013440"/>
            </w:placeholder>
            <w:showingPlcHdr/>
            <w:text/>
          </w:sdtPr>
          <w:sdtContent>
            <w:tc>
              <w:tcPr>
                <w:tcW w:w="1984" w:type="dxa"/>
              </w:tcPr>
              <w:p w14:paraId="0926023A" w14:textId="05434DAC" w:rsidR="008971F4" w:rsidRPr="00265E17" w:rsidRDefault="00A9280D">
                <w:pPr>
                  <w:rPr>
                    <w:sz w:val="22"/>
                    <w:szCs w:val="22"/>
                  </w:rPr>
                </w:pPr>
                <w:r w:rsidRPr="000851DB">
                  <w:rPr>
                    <w:rStyle w:val="PlaceholderText"/>
                  </w:rPr>
                  <w:t>Click or tap here to enter text.</w:t>
                </w:r>
              </w:p>
            </w:tc>
          </w:sdtContent>
        </w:sdt>
        <w:sdt>
          <w:sdtPr>
            <w:rPr>
              <w:sz w:val="22"/>
              <w:szCs w:val="22"/>
            </w:rPr>
            <w:id w:val="493230650"/>
            <w:placeholder>
              <w:docPart w:val="DefaultPlaceholder_-1854013440"/>
            </w:placeholder>
            <w:showingPlcHdr/>
          </w:sdtPr>
          <w:sdtContent>
            <w:tc>
              <w:tcPr>
                <w:tcW w:w="3918" w:type="dxa"/>
              </w:tcPr>
              <w:p w14:paraId="12302525" w14:textId="358BFB8B" w:rsidR="008971F4" w:rsidRPr="00265E17" w:rsidRDefault="00A9280D">
                <w:pPr>
                  <w:rPr>
                    <w:sz w:val="22"/>
                    <w:szCs w:val="22"/>
                  </w:rPr>
                </w:pPr>
                <w:r w:rsidRPr="000851DB">
                  <w:rPr>
                    <w:rStyle w:val="PlaceholderText"/>
                  </w:rPr>
                  <w:t>Click or tap here to enter text.</w:t>
                </w:r>
              </w:p>
            </w:tc>
          </w:sdtContent>
        </w:sdt>
      </w:tr>
      <w:tr w:rsidR="006B3162" w:rsidRPr="00265E17" w14:paraId="1436701A" w14:textId="77777777">
        <w:tc>
          <w:tcPr>
            <w:tcW w:w="3114" w:type="dxa"/>
          </w:tcPr>
          <w:p w14:paraId="1C747C35" w14:textId="74874F9E" w:rsidR="006B3162" w:rsidRPr="007723F4" w:rsidRDefault="006B3162">
            <w:pPr>
              <w:rPr>
                <w:sz w:val="22"/>
                <w:szCs w:val="22"/>
              </w:rPr>
            </w:pPr>
            <w:r w:rsidRPr="007723F4">
              <w:rPr>
                <w:sz w:val="22"/>
                <w:szCs w:val="22"/>
              </w:rPr>
              <w:t xml:space="preserve">Any residual risks arising from structural FX positions are </w:t>
            </w:r>
            <w:r w:rsidR="007723F4">
              <w:rPr>
                <w:sz w:val="22"/>
                <w:szCs w:val="22"/>
              </w:rPr>
              <w:t>minimised</w:t>
            </w:r>
            <w:r w:rsidRPr="007723F4">
              <w:rPr>
                <w:sz w:val="22"/>
                <w:szCs w:val="22"/>
              </w:rPr>
              <w:t>.</w:t>
            </w:r>
          </w:p>
        </w:tc>
        <w:sdt>
          <w:sdtPr>
            <w:rPr>
              <w:sz w:val="22"/>
              <w:szCs w:val="22"/>
            </w:rPr>
            <w:id w:val="538248871"/>
            <w:placeholder>
              <w:docPart w:val="DefaultPlaceholder_-1854013440"/>
            </w:placeholder>
            <w:showingPlcHdr/>
            <w:text/>
          </w:sdtPr>
          <w:sdtContent>
            <w:tc>
              <w:tcPr>
                <w:tcW w:w="1984" w:type="dxa"/>
              </w:tcPr>
              <w:p w14:paraId="3BCDC197" w14:textId="48D06C1D" w:rsidR="006B3162" w:rsidRPr="00265E17" w:rsidRDefault="00A9280D">
                <w:pPr>
                  <w:rPr>
                    <w:sz w:val="22"/>
                    <w:szCs w:val="22"/>
                  </w:rPr>
                </w:pPr>
                <w:r w:rsidRPr="000851DB">
                  <w:rPr>
                    <w:rStyle w:val="PlaceholderText"/>
                  </w:rPr>
                  <w:t>Click or tap here to enter text.</w:t>
                </w:r>
              </w:p>
            </w:tc>
          </w:sdtContent>
        </w:sdt>
        <w:sdt>
          <w:sdtPr>
            <w:rPr>
              <w:sz w:val="22"/>
              <w:szCs w:val="22"/>
            </w:rPr>
            <w:id w:val="57212008"/>
            <w:placeholder>
              <w:docPart w:val="DefaultPlaceholder_-1854013440"/>
            </w:placeholder>
            <w:showingPlcHdr/>
          </w:sdtPr>
          <w:sdtContent>
            <w:tc>
              <w:tcPr>
                <w:tcW w:w="3918" w:type="dxa"/>
              </w:tcPr>
              <w:p w14:paraId="5F888A81" w14:textId="498274B7" w:rsidR="006B3162" w:rsidRPr="00265E17" w:rsidRDefault="00A9280D">
                <w:pPr>
                  <w:rPr>
                    <w:sz w:val="22"/>
                    <w:szCs w:val="22"/>
                  </w:rPr>
                </w:pPr>
                <w:r w:rsidRPr="000851DB">
                  <w:rPr>
                    <w:rStyle w:val="PlaceholderText"/>
                  </w:rPr>
                  <w:t>Click or tap here to enter text.</w:t>
                </w:r>
              </w:p>
            </w:tc>
          </w:sdtContent>
        </w:sdt>
      </w:tr>
      <w:tr w:rsidR="008971F4" w:rsidRPr="00265E17" w14:paraId="78A79731" w14:textId="77777777" w:rsidTr="00900668">
        <w:tc>
          <w:tcPr>
            <w:tcW w:w="3114" w:type="dxa"/>
          </w:tcPr>
          <w:p w14:paraId="5A52A8DF" w14:textId="5F39B33A" w:rsidR="008971F4" w:rsidRPr="007723F4" w:rsidRDefault="006B3162">
            <w:pPr>
              <w:rPr>
                <w:sz w:val="22"/>
                <w:szCs w:val="22"/>
              </w:rPr>
            </w:pPr>
            <w:r w:rsidRPr="007723F4">
              <w:rPr>
                <w:sz w:val="22"/>
                <w:szCs w:val="22"/>
              </w:rPr>
              <w:t>Where a</w:t>
            </w:r>
            <w:r w:rsidR="00900668" w:rsidRPr="007723F4">
              <w:rPr>
                <w:sz w:val="22"/>
                <w:szCs w:val="22"/>
              </w:rPr>
              <w:t xml:space="preserve">ny residual risks arising from structural FX positions </w:t>
            </w:r>
            <w:r w:rsidRPr="007723F4">
              <w:rPr>
                <w:sz w:val="22"/>
                <w:szCs w:val="22"/>
              </w:rPr>
              <w:t>remain</w:t>
            </w:r>
            <w:r w:rsidR="676273D0" w:rsidRPr="13F94D6E">
              <w:rPr>
                <w:sz w:val="22"/>
                <w:szCs w:val="22"/>
              </w:rPr>
              <w:t>,</w:t>
            </w:r>
            <w:r w:rsidRPr="007723F4">
              <w:rPr>
                <w:sz w:val="22"/>
                <w:szCs w:val="22"/>
              </w:rPr>
              <w:t xml:space="preserve"> these </w:t>
            </w:r>
            <w:r w:rsidR="00900668" w:rsidRPr="007723F4">
              <w:rPr>
                <w:sz w:val="22"/>
                <w:szCs w:val="22"/>
              </w:rPr>
              <w:t xml:space="preserve">are considered </w:t>
            </w:r>
            <w:r w:rsidR="007723F4">
              <w:rPr>
                <w:sz w:val="22"/>
                <w:szCs w:val="22"/>
              </w:rPr>
              <w:t xml:space="preserve">in </w:t>
            </w:r>
            <w:r w:rsidR="00900668" w:rsidRPr="007723F4">
              <w:rPr>
                <w:sz w:val="22"/>
                <w:szCs w:val="22"/>
              </w:rPr>
              <w:t xml:space="preserve">the </w:t>
            </w:r>
            <w:r w:rsidRPr="007723F4">
              <w:rPr>
                <w:sz w:val="22"/>
                <w:szCs w:val="22"/>
              </w:rPr>
              <w:t xml:space="preserve">firm’s </w:t>
            </w:r>
            <w:r w:rsidR="00900668" w:rsidRPr="007723F4">
              <w:rPr>
                <w:sz w:val="22"/>
                <w:szCs w:val="22"/>
              </w:rPr>
              <w:t>Pillar</w:t>
            </w:r>
            <w:r w:rsidR="007723F4">
              <w:rPr>
                <w:sz w:val="22"/>
                <w:szCs w:val="22"/>
              </w:rPr>
              <w:t> </w:t>
            </w:r>
            <w:r w:rsidR="00900668" w:rsidRPr="007723F4">
              <w:rPr>
                <w:sz w:val="22"/>
                <w:szCs w:val="22"/>
              </w:rPr>
              <w:t>2 assessment.</w:t>
            </w:r>
          </w:p>
        </w:tc>
        <w:sdt>
          <w:sdtPr>
            <w:rPr>
              <w:sz w:val="22"/>
              <w:szCs w:val="22"/>
            </w:rPr>
            <w:id w:val="1971550059"/>
            <w:placeholder>
              <w:docPart w:val="DefaultPlaceholder_-1854013440"/>
            </w:placeholder>
            <w:showingPlcHdr/>
            <w:text/>
          </w:sdtPr>
          <w:sdtContent>
            <w:tc>
              <w:tcPr>
                <w:tcW w:w="1984" w:type="dxa"/>
              </w:tcPr>
              <w:p w14:paraId="30254ECD" w14:textId="4F84D086" w:rsidR="008971F4" w:rsidRPr="00265E17" w:rsidRDefault="00A9280D">
                <w:pPr>
                  <w:rPr>
                    <w:sz w:val="22"/>
                    <w:szCs w:val="22"/>
                  </w:rPr>
                </w:pPr>
                <w:r w:rsidRPr="000851DB">
                  <w:rPr>
                    <w:rStyle w:val="PlaceholderText"/>
                  </w:rPr>
                  <w:t>Click or tap here to enter text.</w:t>
                </w:r>
              </w:p>
            </w:tc>
          </w:sdtContent>
        </w:sdt>
        <w:sdt>
          <w:sdtPr>
            <w:rPr>
              <w:sz w:val="22"/>
              <w:szCs w:val="22"/>
            </w:rPr>
            <w:id w:val="-1343701699"/>
            <w:placeholder>
              <w:docPart w:val="DefaultPlaceholder_-1854013440"/>
            </w:placeholder>
            <w:showingPlcHdr/>
          </w:sdtPr>
          <w:sdtContent>
            <w:tc>
              <w:tcPr>
                <w:tcW w:w="3918" w:type="dxa"/>
              </w:tcPr>
              <w:p w14:paraId="224CD582" w14:textId="3D1F88D5" w:rsidR="008971F4" w:rsidRPr="00265E17" w:rsidRDefault="00E97520">
                <w:pPr>
                  <w:rPr>
                    <w:sz w:val="22"/>
                    <w:szCs w:val="22"/>
                  </w:rPr>
                </w:pPr>
                <w:r w:rsidRPr="000851DB">
                  <w:rPr>
                    <w:rStyle w:val="PlaceholderText"/>
                  </w:rPr>
                  <w:t>Click or tap here to enter text.</w:t>
                </w:r>
              </w:p>
            </w:tc>
          </w:sdtContent>
        </w:sdt>
      </w:tr>
      <w:tr w:rsidR="008971F4" w:rsidRPr="00265E17" w14:paraId="4E5204AF" w14:textId="77777777" w:rsidTr="00900668">
        <w:tc>
          <w:tcPr>
            <w:tcW w:w="3114" w:type="dxa"/>
          </w:tcPr>
          <w:p w14:paraId="17CE110C" w14:textId="26816BDE" w:rsidR="008971F4" w:rsidRPr="00FD7959" w:rsidRDefault="00900668">
            <w:pPr>
              <w:rPr>
                <w:sz w:val="22"/>
                <w:szCs w:val="22"/>
              </w:rPr>
            </w:pPr>
            <w:r w:rsidRPr="00FD7959">
              <w:rPr>
                <w:sz w:val="22"/>
                <w:szCs w:val="22"/>
              </w:rPr>
              <w:lastRenderedPageBreak/>
              <w:t>Policies and procedures are clearly articulated and are made available to the board and to regulators on an annual basis.</w:t>
            </w:r>
          </w:p>
        </w:tc>
        <w:sdt>
          <w:sdtPr>
            <w:rPr>
              <w:sz w:val="22"/>
              <w:szCs w:val="22"/>
            </w:rPr>
            <w:id w:val="1925837151"/>
            <w:placeholder>
              <w:docPart w:val="DefaultPlaceholder_-1854013440"/>
            </w:placeholder>
            <w:showingPlcHdr/>
            <w:text/>
          </w:sdtPr>
          <w:sdtContent>
            <w:tc>
              <w:tcPr>
                <w:tcW w:w="1984" w:type="dxa"/>
              </w:tcPr>
              <w:p w14:paraId="5770B693" w14:textId="1B88437E" w:rsidR="008971F4" w:rsidRPr="00265E17" w:rsidRDefault="00CA56FA">
                <w:pPr>
                  <w:rPr>
                    <w:sz w:val="22"/>
                    <w:szCs w:val="22"/>
                  </w:rPr>
                </w:pPr>
                <w:r w:rsidRPr="000851DB">
                  <w:rPr>
                    <w:rStyle w:val="PlaceholderText"/>
                  </w:rPr>
                  <w:t>Click or tap here to enter text.</w:t>
                </w:r>
              </w:p>
            </w:tc>
          </w:sdtContent>
        </w:sdt>
        <w:sdt>
          <w:sdtPr>
            <w:rPr>
              <w:sz w:val="22"/>
              <w:szCs w:val="22"/>
            </w:rPr>
            <w:id w:val="-546297453"/>
            <w:placeholder>
              <w:docPart w:val="DefaultPlaceholder_-1854013440"/>
            </w:placeholder>
            <w:showingPlcHdr/>
          </w:sdtPr>
          <w:sdtContent>
            <w:tc>
              <w:tcPr>
                <w:tcW w:w="3918" w:type="dxa"/>
              </w:tcPr>
              <w:p w14:paraId="1A190E9B" w14:textId="1F5BF900" w:rsidR="008971F4" w:rsidRPr="00265E17" w:rsidRDefault="00CA56FA">
                <w:pPr>
                  <w:rPr>
                    <w:sz w:val="22"/>
                    <w:szCs w:val="22"/>
                  </w:rPr>
                </w:pPr>
                <w:r w:rsidRPr="000851DB">
                  <w:rPr>
                    <w:rStyle w:val="PlaceholderText"/>
                  </w:rPr>
                  <w:t>Click or tap here to enter text.</w:t>
                </w:r>
              </w:p>
            </w:tc>
          </w:sdtContent>
        </w:sdt>
      </w:tr>
      <w:tr w:rsidR="008971F4" w:rsidRPr="00265E17" w14:paraId="30119EF9" w14:textId="77777777" w:rsidTr="00900668">
        <w:tc>
          <w:tcPr>
            <w:tcW w:w="3114" w:type="dxa"/>
          </w:tcPr>
          <w:p w14:paraId="15F95D3A" w14:textId="21A02CF5" w:rsidR="008971F4" w:rsidRPr="00FD7959" w:rsidRDefault="00900668">
            <w:pPr>
              <w:rPr>
                <w:sz w:val="22"/>
                <w:szCs w:val="22"/>
              </w:rPr>
            </w:pPr>
            <w:r w:rsidRPr="00FD7959">
              <w:rPr>
                <w:sz w:val="22"/>
                <w:szCs w:val="22"/>
              </w:rPr>
              <w:t>The structural FX hedging strategy is clearly articulated to investors and is included in Pillar 3 disclosures.</w:t>
            </w:r>
          </w:p>
        </w:tc>
        <w:sdt>
          <w:sdtPr>
            <w:rPr>
              <w:sz w:val="22"/>
              <w:szCs w:val="22"/>
            </w:rPr>
            <w:id w:val="139628123"/>
            <w:placeholder>
              <w:docPart w:val="DefaultPlaceholder_-1854013440"/>
            </w:placeholder>
            <w:showingPlcHdr/>
            <w:text/>
          </w:sdtPr>
          <w:sdtContent>
            <w:tc>
              <w:tcPr>
                <w:tcW w:w="1984" w:type="dxa"/>
              </w:tcPr>
              <w:p w14:paraId="1A7A34F7" w14:textId="4546EF09" w:rsidR="008971F4" w:rsidRPr="00265E17" w:rsidRDefault="00CA56FA">
                <w:pPr>
                  <w:rPr>
                    <w:sz w:val="22"/>
                    <w:szCs w:val="22"/>
                  </w:rPr>
                </w:pPr>
                <w:r w:rsidRPr="000851DB">
                  <w:rPr>
                    <w:rStyle w:val="PlaceholderText"/>
                  </w:rPr>
                  <w:t>Click or tap here to enter text.</w:t>
                </w:r>
              </w:p>
            </w:tc>
          </w:sdtContent>
        </w:sdt>
        <w:sdt>
          <w:sdtPr>
            <w:rPr>
              <w:sz w:val="22"/>
              <w:szCs w:val="22"/>
            </w:rPr>
            <w:id w:val="1503091175"/>
            <w:placeholder>
              <w:docPart w:val="DefaultPlaceholder_-1854013440"/>
            </w:placeholder>
            <w:showingPlcHdr/>
          </w:sdtPr>
          <w:sdtContent>
            <w:tc>
              <w:tcPr>
                <w:tcW w:w="3918" w:type="dxa"/>
              </w:tcPr>
              <w:p w14:paraId="5D4EB8BA" w14:textId="2CFA0F05" w:rsidR="008971F4" w:rsidRPr="00265E17" w:rsidRDefault="00CA56FA">
                <w:pPr>
                  <w:rPr>
                    <w:sz w:val="22"/>
                    <w:szCs w:val="22"/>
                  </w:rPr>
                </w:pPr>
                <w:r w:rsidRPr="000851DB">
                  <w:rPr>
                    <w:rStyle w:val="PlaceholderText"/>
                  </w:rPr>
                  <w:t>Click or tap here to enter text.</w:t>
                </w:r>
              </w:p>
            </w:tc>
          </w:sdtContent>
        </w:sdt>
      </w:tr>
      <w:tr w:rsidR="008971F4" w:rsidRPr="00265E17" w14:paraId="6F286180" w14:textId="77777777" w:rsidTr="00900668">
        <w:tc>
          <w:tcPr>
            <w:tcW w:w="3114" w:type="dxa"/>
          </w:tcPr>
          <w:p w14:paraId="4DA75FA3" w14:textId="7107C074" w:rsidR="008971F4" w:rsidRPr="00FD7959" w:rsidRDefault="00900668">
            <w:pPr>
              <w:rPr>
                <w:sz w:val="22"/>
                <w:szCs w:val="22"/>
              </w:rPr>
            </w:pPr>
            <w:r w:rsidRPr="00FD7959">
              <w:rPr>
                <w:sz w:val="22"/>
                <w:szCs w:val="22"/>
              </w:rPr>
              <w:t>Traders’ remuneration structures do not in any way incentivise structural FX positions becoming a profit centre.</w:t>
            </w:r>
          </w:p>
        </w:tc>
        <w:sdt>
          <w:sdtPr>
            <w:rPr>
              <w:sz w:val="22"/>
              <w:szCs w:val="22"/>
            </w:rPr>
            <w:id w:val="2130501919"/>
            <w:placeholder>
              <w:docPart w:val="DefaultPlaceholder_-1854013440"/>
            </w:placeholder>
            <w:showingPlcHdr/>
            <w:text/>
          </w:sdtPr>
          <w:sdtContent>
            <w:tc>
              <w:tcPr>
                <w:tcW w:w="1984" w:type="dxa"/>
              </w:tcPr>
              <w:p w14:paraId="290CBF57" w14:textId="6151A28F" w:rsidR="008971F4" w:rsidRPr="00265E17" w:rsidRDefault="00CA56FA">
                <w:pPr>
                  <w:rPr>
                    <w:sz w:val="22"/>
                    <w:szCs w:val="22"/>
                  </w:rPr>
                </w:pPr>
                <w:r w:rsidRPr="000851DB">
                  <w:rPr>
                    <w:rStyle w:val="PlaceholderText"/>
                  </w:rPr>
                  <w:t>Click or tap here to enter text.</w:t>
                </w:r>
              </w:p>
            </w:tc>
          </w:sdtContent>
        </w:sdt>
        <w:sdt>
          <w:sdtPr>
            <w:rPr>
              <w:sz w:val="22"/>
              <w:szCs w:val="22"/>
            </w:rPr>
            <w:id w:val="-559100690"/>
            <w:placeholder>
              <w:docPart w:val="DefaultPlaceholder_-1854013440"/>
            </w:placeholder>
            <w:showingPlcHdr/>
          </w:sdtPr>
          <w:sdtContent>
            <w:tc>
              <w:tcPr>
                <w:tcW w:w="3918" w:type="dxa"/>
              </w:tcPr>
              <w:p w14:paraId="69153F40" w14:textId="11E7F601" w:rsidR="008971F4" w:rsidRPr="00265E17" w:rsidRDefault="00CA56FA">
                <w:pPr>
                  <w:rPr>
                    <w:sz w:val="22"/>
                    <w:szCs w:val="22"/>
                  </w:rPr>
                </w:pPr>
                <w:r w:rsidRPr="000851DB">
                  <w:rPr>
                    <w:rStyle w:val="PlaceholderText"/>
                  </w:rPr>
                  <w:t>Click or tap here to enter text.</w:t>
                </w:r>
              </w:p>
            </w:tc>
          </w:sdtContent>
        </w:sdt>
      </w:tr>
      <w:tr w:rsidR="008971F4" w:rsidRPr="00265E17" w14:paraId="6FAF2FF3" w14:textId="77777777" w:rsidTr="00900668">
        <w:tc>
          <w:tcPr>
            <w:tcW w:w="3114" w:type="dxa"/>
          </w:tcPr>
          <w:p w14:paraId="61361749" w14:textId="1B1165A6" w:rsidR="008971F4" w:rsidRPr="00FD7959" w:rsidRDefault="00900668">
            <w:pPr>
              <w:rPr>
                <w:sz w:val="22"/>
                <w:szCs w:val="22"/>
              </w:rPr>
            </w:pPr>
            <w:r w:rsidRPr="00FD7959">
              <w:rPr>
                <w:sz w:val="22"/>
                <w:szCs w:val="22"/>
              </w:rPr>
              <w:t>Oversight of structural FX positions is carried out by the appropriate committees of the boards of both the foreign entity and the group on at least a quarterly basis.</w:t>
            </w:r>
          </w:p>
        </w:tc>
        <w:sdt>
          <w:sdtPr>
            <w:rPr>
              <w:sz w:val="22"/>
              <w:szCs w:val="22"/>
            </w:rPr>
            <w:id w:val="-2043588467"/>
            <w:placeholder>
              <w:docPart w:val="DefaultPlaceholder_-1854013440"/>
            </w:placeholder>
            <w:showingPlcHdr/>
            <w:text/>
          </w:sdtPr>
          <w:sdtContent>
            <w:tc>
              <w:tcPr>
                <w:tcW w:w="1984" w:type="dxa"/>
              </w:tcPr>
              <w:p w14:paraId="732834A4" w14:textId="3C8B0861" w:rsidR="008971F4" w:rsidRPr="00265E17" w:rsidRDefault="00CA56FA">
                <w:pPr>
                  <w:rPr>
                    <w:sz w:val="22"/>
                    <w:szCs w:val="22"/>
                  </w:rPr>
                </w:pPr>
                <w:r w:rsidRPr="000851DB">
                  <w:rPr>
                    <w:rStyle w:val="PlaceholderText"/>
                  </w:rPr>
                  <w:t>Click or tap here to enter text.</w:t>
                </w:r>
              </w:p>
            </w:tc>
          </w:sdtContent>
        </w:sdt>
        <w:sdt>
          <w:sdtPr>
            <w:rPr>
              <w:sz w:val="22"/>
              <w:szCs w:val="22"/>
            </w:rPr>
            <w:id w:val="-188381050"/>
            <w:placeholder>
              <w:docPart w:val="DefaultPlaceholder_-1854013440"/>
            </w:placeholder>
            <w:showingPlcHdr/>
          </w:sdtPr>
          <w:sdtContent>
            <w:tc>
              <w:tcPr>
                <w:tcW w:w="3918" w:type="dxa"/>
              </w:tcPr>
              <w:p w14:paraId="687871B6" w14:textId="6AE89B74" w:rsidR="008971F4" w:rsidRPr="00265E17" w:rsidRDefault="00CA56FA">
                <w:pPr>
                  <w:rPr>
                    <w:sz w:val="22"/>
                    <w:szCs w:val="22"/>
                  </w:rPr>
                </w:pPr>
                <w:r w:rsidRPr="000851DB">
                  <w:rPr>
                    <w:rStyle w:val="PlaceholderText"/>
                  </w:rPr>
                  <w:t>Click or tap here to enter text.</w:t>
                </w:r>
              </w:p>
            </w:tc>
          </w:sdtContent>
        </w:sdt>
      </w:tr>
      <w:tr w:rsidR="008971F4" w:rsidRPr="00265E17" w14:paraId="03346D23" w14:textId="77777777" w:rsidTr="00900668">
        <w:tc>
          <w:tcPr>
            <w:tcW w:w="3114" w:type="dxa"/>
          </w:tcPr>
          <w:p w14:paraId="403D1042" w14:textId="413999C1" w:rsidR="008971F4" w:rsidRPr="00265E17" w:rsidRDefault="00256D9C">
            <w:pPr>
              <w:rPr>
                <w:sz w:val="22"/>
                <w:szCs w:val="22"/>
              </w:rPr>
            </w:pPr>
            <w:r>
              <w:rPr>
                <w:sz w:val="22"/>
                <w:szCs w:val="22"/>
              </w:rPr>
              <w:t>The overall net FX position of the firm in each currency is calculated as the net delta position in that currency, summing across all positions subject to FX market risk requirements. If the firm uses an alternative measure, please provide details.</w:t>
            </w:r>
          </w:p>
        </w:tc>
        <w:sdt>
          <w:sdtPr>
            <w:rPr>
              <w:sz w:val="22"/>
              <w:szCs w:val="22"/>
            </w:rPr>
            <w:id w:val="-795600786"/>
            <w:placeholder>
              <w:docPart w:val="DefaultPlaceholder_-1854013440"/>
            </w:placeholder>
            <w:showingPlcHdr/>
            <w:text/>
          </w:sdtPr>
          <w:sdtContent>
            <w:tc>
              <w:tcPr>
                <w:tcW w:w="1984" w:type="dxa"/>
              </w:tcPr>
              <w:p w14:paraId="01A59490" w14:textId="3F317F65" w:rsidR="008971F4" w:rsidRPr="00265E17" w:rsidRDefault="00CA56FA">
                <w:pPr>
                  <w:rPr>
                    <w:sz w:val="22"/>
                    <w:szCs w:val="22"/>
                  </w:rPr>
                </w:pPr>
                <w:r w:rsidRPr="000851DB">
                  <w:rPr>
                    <w:rStyle w:val="PlaceholderText"/>
                  </w:rPr>
                  <w:t>Click or tap here to enter text.</w:t>
                </w:r>
              </w:p>
            </w:tc>
          </w:sdtContent>
        </w:sdt>
        <w:sdt>
          <w:sdtPr>
            <w:rPr>
              <w:sz w:val="22"/>
              <w:szCs w:val="22"/>
            </w:rPr>
            <w:id w:val="1844204132"/>
            <w:placeholder>
              <w:docPart w:val="DefaultPlaceholder_-1854013440"/>
            </w:placeholder>
            <w:showingPlcHdr/>
          </w:sdtPr>
          <w:sdtContent>
            <w:tc>
              <w:tcPr>
                <w:tcW w:w="3918" w:type="dxa"/>
              </w:tcPr>
              <w:p w14:paraId="484110F5" w14:textId="1582F48E" w:rsidR="008971F4" w:rsidRPr="00265E17" w:rsidRDefault="00CA56FA">
                <w:pPr>
                  <w:rPr>
                    <w:sz w:val="22"/>
                    <w:szCs w:val="22"/>
                  </w:rPr>
                </w:pPr>
                <w:r w:rsidRPr="000851DB">
                  <w:rPr>
                    <w:rStyle w:val="PlaceholderText"/>
                  </w:rPr>
                  <w:t>Click or tap here to enter text.</w:t>
                </w:r>
              </w:p>
            </w:tc>
          </w:sdtContent>
        </w:sdt>
      </w:tr>
      <w:tr w:rsidR="008971F4" w:rsidRPr="00265E17" w14:paraId="1BE4E6AA" w14:textId="77777777" w:rsidTr="00900668">
        <w:tc>
          <w:tcPr>
            <w:tcW w:w="3114" w:type="dxa"/>
          </w:tcPr>
          <w:p w14:paraId="2EDE43CB" w14:textId="4B8EBBA5" w:rsidR="008971F4" w:rsidRDefault="00256D9C">
            <w:pPr>
              <w:rPr>
                <w:sz w:val="22"/>
                <w:szCs w:val="22"/>
              </w:rPr>
            </w:pPr>
            <w:r>
              <w:rPr>
                <w:sz w:val="22"/>
                <w:szCs w:val="22"/>
              </w:rPr>
              <w:t>The maximum net risk position is calculated based on the formula set out in SS13/13</w:t>
            </w:r>
            <w:r w:rsidR="00BE21D2">
              <w:rPr>
                <w:sz w:val="22"/>
                <w:szCs w:val="22"/>
              </w:rPr>
              <w:t>, paragraph 3B.11</w:t>
            </w:r>
            <w:r>
              <w:rPr>
                <w:sz w:val="22"/>
                <w:szCs w:val="22"/>
              </w:rPr>
              <w:t>.</w:t>
            </w:r>
          </w:p>
          <w:p w14:paraId="31807168" w14:textId="77777777" w:rsidR="00256D9C" w:rsidRDefault="00256D9C">
            <w:pPr>
              <w:rPr>
                <w:sz w:val="22"/>
                <w:szCs w:val="22"/>
              </w:rPr>
            </w:pPr>
          </w:p>
          <w:p w14:paraId="53264AE7" w14:textId="0E9BE4CC" w:rsidR="00256D9C" w:rsidRPr="00265E17" w:rsidRDefault="00256D9C">
            <w:pPr>
              <w:rPr>
                <w:sz w:val="22"/>
                <w:szCs w:val="22"/>
              </w:rPr>
            </w:pPr>
          </w:p>
        </w:tc>
        <w:sdt>
          <w:sdtPr>
            <w:rPr>
              <w:sz w:val="22"/>
              <w:szCs w:val="22"/>
            </w:rPr>
            <w:id w:val="1353301651"/>
            <w:placeholder>
              <w:docPart w:val="DefaultPlaceholder_-1854013440"/>
            </w:placeholder>
            <w:showingPlcHdr/>
            <w:text/>
          </w:sdtPr>
          <w:sdtContent>
            <w:tc>
              <w:tcPr>
                <w:tcW w:w="1984" w:type="dxa"/>
              </w:tcPr>
              <w:p w14:paraId="7F145C3A" w14:textId="35036C2D" w:rsidR="008971F4" w:rsidRPr="00265E17" w:rsidRDefault="00CA56FA">
                <w:pPr>
                  <w:rPr>
                    <w:sz w:val="22"/>
                    <w:szCs w:val="22"/>
                  </w:rPr>
                </w:pPr>
                <w:r w:rsidRPr="000851DB">
                  <w:rPr>
                    <w:rStyle w:val="PlaceholderText"/>
                  </w:rPr>
                  <w:t>Click or tap here to enter text.</w:t>
                </w:r>
              </w:p>
            </w:tc>
          </w:sdtContent>
        </w:sdt>
        <w:sdt>
          <w:sdtPr>
            <w:rPr>
              <w:sz w:val="22"/>
              <w:szCs w:val="22"/>
            </w:rPr>
            <w:id w:val="718560020"/>
            <w:placeholder>
              <w:docPart w:val="DefaultPlaceholder_-1854013440"/>
            </w:placeholder>
            <w:showingPlcHdr/>
          </w:sdtPr>
          <w:sdtContent>
            <w:tc>
              <w:tcPr>
                <w:tcW w:w="3918" w:type="dxa"/>
              </w:tcPr>
              <w:p w14:paraId="4B2314E1" w14:textId="3B53EA24" w:rsidR="008971F4" w:rsidRPr="00265E17" w:rsidRDefault="00CA56FA">
                <w:pPr>
                  <w:rPr>
                    <w:sz w:val="22"/>
                    <w:szCs w:val="22"/>
                  </w:rPr>
                </w:pPr>
                <w:r w:rsidRPr="000851DB">
                  <w:rPr>
                    <w:rStyle w:val="PlaceholderText"/>
                  </w:rPr>
                  <w:t>Click or tap here to enter text.</w:t>
                </w:r>
              </w:p>
            </w:tc>
          </w:sdtContent>
        </w:sdt>
      </w:tr>
      <w:tr w:rsidR="00256D9C" w:rsidRPr="00265E17" w14:paraId="254736A0" w14:textId="77777777" w:rsidTr="00900668">
        <w:tc>
          <w:tcPr>
            <w:tcW w:w="3114" w:type="dxa"/>
          </w:tcPr>
          <w:p w14:paraId="7936ECA3" w14:textId="5A27D775" w:rsidR="00256D9C" w:rsidRDefault="00256D9C">
            <w:pPr>
              <w:rPr>
                <w:sz w:val="22"/>
                <w:szCs w:val="22"/>
              </w:rPr>
            </w:pPr>
            <w:r>
              <w:rPr>
                <w:sz w:val="22"/>
                <w:szCs w:val="22"/>
              </w:rPr>
              <w:t xml:space="preserve">Risk weighted assets (RWAs) used for the calculation of the maximum net open position include at a minimum credit risk RWAs. Please explain whether non-credit risk positions are also </w:t>
            </w:r>
            <w:proofErr w:type="gramStart"/>
            <w:r>
              <w:rPr>
                <w:sz w:val="22"/>
                <w:szCs w:val="22"/>
              </w:rPr>
              <w:t>included, and</w:t>
            </w:r>
            <w:proofErr w:type="gramEnd"/>
            <w:r>
              <w:rPr>
                <w:sz w:val="22"/>
                <w:szCs w:val="22"/>
              </w:rPr>
              <w:t xml:space="preserve"> provide details on their inclusion.</w:t>
            </w:r>
          </w:p>
        </w:tc>
        <w:sdt>
          <w:sdtPr>
            <w:rPr>
              <w:sz w:val="22"/>
              <w:szCs w:val="22"/>
            </w:rPr>
            <w:id w:val="358547334"/>
            <w:placeholder>
              <w:docPart w:val="DefaultPlaceholder_-1854013440"/>
            </w:placeholder>
            <w:showingPlcHdr/>
            <w:text/>
          </w:sdtPr>
          <w:sdtContent>
            <w:tc>
              <w:tcPr>
                <w:tcW w:w="1984" w:type="dxa"/>
              </w:tcPr>
              <w:p w14:paraId="4B211A6E" w14:textId="1B971BD6" w:rsidR="00256D9C" w:rsidRPr="00265E17" w:rsidRDefault="00CA56FA">
                <w:pPr>
                  <w:rPr>
                    <w:sz w:val="22"/>
                    <w:szCs w:val="22"/>
                  </w:rPr>
                </w:pPr>
                <w:r w:rsidRPr="000851DB">
                  <w:rPr>
                    <w:rStyle w:val="PlaceholderText"/>
                  </w:rPr>
                  <w:t>Click or tap here to enter text.</w:t>
                </w:r>
              </w:p>
            </w:tc>
          </w:sdtContent>
        </w:sdt>
        <w:sdt>
          <w:sdtPr>
            <w:rPr>
              <w:sz w:val="22"/>
              <w:szCs w:val="22"/>
            </w:rPr>
            <w:id w:val="765733439"/>
            <w:placeholder>
              <w:docPart w:val="DefaultPlaceholder_-1854013440"/>
            </w:placeholder>
            <w:showingPlcHdr/>
          </w:sdtPr>
          <w:sdtContent>
            <w:tc>
              <w:tcPr>
                <w:tcW w:w="3918" w:type="dxa"/>
              </w:tcPr>
              <w:p w14:paraId="4FFFD97B" w14:textId="0163080A" w:rsidR="00256D9C" w:rsidRPr="00265E17" w:rsidRDefault="00CA56FA">
                <w:pPr>
                  <w:rPr>
                    <w:sz w:val="22"/>
                    <w:szCs w:val="22"/>
                  </w:rPr>
                </w:pPr>
                <w:r w:rsidRPr="000851DB">
                  <w:rPr>
                    <w:rStyle w:val="PlaceholderText"/>
                  </w:rPr>
                  <w:t>Click or tap here to enter text.</w:t>
                </w:r>
              </w:p>
            </w:tc>
          </w:sdtContent>
        </w:sdt>
      </w:tr>
    </w:tbl>
    <w:p w14:paraId="141D695C" w14:textId="77777777" w:rsidR="00DE67E5" w:rsidRDefault="00DE67E5"/>
    <w:p w14:paraId="0BE6FC69" w14:textId="77777777" w:rsidR="00A819E9" w:rsidRDefault="00A819E9">
      <w:r>
        <w:br w:type="page"/>
      </w:r>
    </w:p>
    <w:p w14:paraId="60973E30" w14:textId="77777777" w:rsidR="00A819E9" w:rsidRDefault="00A819E9"/>
    <w:p w14:paraId="0CDE6826" w14:textId="77777777" w:rsidR="00A819E9" w:rsidRPr="00820EE1" w:rsidRDefault="00A819E9" w:rsidP="00820EE1">
      <w:pPr>
        <w:pStyle w:val="Heading4"/>
        <w:spacing w:before="0" w:after="120" w:line="300" w:lineRule="auto"/>
        <w:rPr>
          <w:rFonts w:ascii="Century Gothic" w:hAnsi="Century Gothic" w:cs="Calibri"/>
          <w:b/>
          <w:kern w:val="0"/>
          <w:sz w:val="25"/>
          <w:szCs w:val="27"/>
          <w14:ligatures w14:val="none"/>
        </w:rPr>
      </w:pPr>
      <w:r w:rsidRPr="00820EE1">
        <w:rPr>
          <w:rFonts w:ascii="Century Gothic" w:hAnsi="Century Gothic" w:cs="Calibri"/>
          <w:b/>
          <w:i w:val="0"/>
          <w:color w:val="auto"/>
          <w:kern w:val="0"/>
          <w:sz w:val="25"/>
          <w:szCs w:val="27"/>
          <w14:ligatures w14:val="none"/>
        </w:rPr>
        <w:t>Part B – Additional information to be provided</w:t>
      </w:r>
    </w:p>
    <w:p w14:paraId="608A3666" w14:textId="2E218D71" w:rsidR="00002BD6" w:rsidRDefault="00002BD6">
      <w:r w:rsidRPr="00002BD6">
        <w:t xml:space="preserve">To support the assessment of the application, the PRA would typically require the following documentation: </w:t>
      </w:r>
    </w:p>
    <w:p w14:paraId="17766499" w14:textId="77777777" w:rsidR="00002BD6" w:rsidRDefault="00002BD6"/>
    <w:p w14:paraId="4F74FCF2" w14:textId="77777777" w:rsidR="00002BD6" w:rsidRPr="00820EE1" w:rsidRDefault="00002BD6">
      <w:pPr>
        <w:rPr>
          <w:b/>
          <w:bCs/>
        </w:rPr>
      </w:pPr>
      <w:r w:rsidRPr="00820EE1">
        <w:rPr>
          <w:b/>
          <w:bCs/>
        </w:rPr>
        <w:t xml:space="preserve">Governance </w:t>
      </w:r>
    </w:p>
    <w:p w14:paraId="4C167824" w14:textId="3F32BEE9" w:rsidR="006D0A4C" w:rsidRPr="00820EE1" w:rsidRDefault="006D0A4C" w:rsidP="00820EE1">
      <w:pPr>
        <w:numPr>
          <w:ilvl w:val="0"/>
          <w:numId w:val="6"/>
        </w:numPr>
        <w:ind w:left="426" w:hanging="219"/>
      </w:pPr>
      <w:r w:rsidRPr="00820EE1">
        <w:t>Outline of roles and responsibilities for governance and risk management of SFX.</w:t>
      </w:r>
    </w:p>
    <w:p w14:paraId="150BD51F" w14:textId="77777777" w:rsidR="006D0A4C" w:rsidRPr="00820EE1" w:rsidRDefault="006D0A4C" w:rsidP="00820EE1">
      <w:pPr>
        <w:numPr>
          <w:ilvl w:val="0"/>
          <w:numId w:val="6"/>
        </w:numPr>
        <w:ind w:left="426" w:hanging="219"/>
      </w:pPr>
      <w:r w:rsidRPr="00820EE1">
        <w:t>SFX risk appetite, and related approval documentation.</w:t>
      </w:r>
    </w:p>
    <w:p w14:paraId="01FBD59D" w14:textId="3E5BD478" w:rsidR="006D0A4C" w:rsidRPr="00820EE1" w:rsidRDefault="006D0A4C" w:rsidP="00820EE1">
      <w:pPr>
        <w:numPr>
          <w:ilvl w:val="0"/>
          <w:numId w:val="6"/>
        </w:numPr>
        <w:ind w:left="426" w:hanging="219"/>
      </w:pPr>
      <w:r w:rsidRPr="00820EE1">
        <w:t xml:space="preserve">Internal governance/papers related to the application for the SFX </w:t>
      </w:r>
      <w:r w:rsidR="00C44CFC">
        <w:t>P</w:t>
      </w:r>
      <w:r w:rsidRPr="00820EE1">
        <w:t>ermission.</w:t>
      </w:r>
    </w:p>
    <w:p w14:paraId="19F95C25" w14:textId="77777777" w:rsidR="00FA52BF" w:rsidRDefault="00FA52BF" w:rsidP="00820EE1"/>
    <w:p w14:paraId="18D2498B" w14:textId="77777777" w:rsidR="00FA52BF" w:rsidRPr="00820EE1" w:rsidRDefault="00002BD6" w:rsidP="00FA52BF">
      <w:pPr>
        <w:rPr>
          <w:b/>
          <w:bCs/>
        </w:rPr>
      </w:pPr>
      <w:r w:rsidRPr="00820EE1">
        <w:rPr>
          <w:b/>
          <w:bCs/>
        </w:rPr>
        <w:t>Risk Management</w:t>
      </w:r>
    </w:p>
    <w:p w14:paraId="7EEAD3EB" w14:textId="77777777" w:rsidR="006D0A4C" w:rsidRPr="00820EE1" w:rsidRDefault="006D0A4C" w:rsidP="00820EE1">
      <w:pPr>
        <w:numPr>
          <w:ilvl w:val="0"/>
          <w:numId w:val="6"/>
        </w:numPr>
        <w:ind w:left="426" w:hanging="219"/>
      </w:pPr>
      <w:r w:rsidRPr="00820EE1">
        <w:t>SFX risk management policy and procedures.</w:t>
      </w:r>
    </w:p>
    <w:p w14:paraId="11D0D6C9" w14:textId="59361A51" w:rsidR="006D0A4C" w:rsidRPr="00820EE1" w:rsidRDefault="006D0A4C" w:rsidP="00820EE1">
      <w:pPr>
        <w:numPr>
          <w:ilvl w:val="0"/>
          <w:numId w:val="6"/>
        </w:numPr>
        <w:ind w:left="426" w:hanging="219"/>
      </w:pPr>
      <w:r w:rsidRPr="00820EE1">
        <w:t>If not covered in (</w:t>
      </w:r>
      <w:r w:rsidR="00503F25">
        <w:t>iv</w:t>
      </w:r>
      <w:r w:rsidRPr="00820EE1">
        <w:t>) above, detail on:</w:t>
      </w:r>
    </w:p>
    <w:p w14:paraId="13CC8C9A" w14:textId="77777777" w:rsidR="006D0A4C" w:rsidRPr="00820EE1" w:rsidRDefault="006D0A4C" w:rsidP="00820EE1">
      <w:pPr>
        <w:numPr>
          <w:ilvl w:val="1"/>
          <w:numId w:val="7"/>
        </w:numPr>
        <w:ind w:left="851"/>
      </w:pPr>
      <w:r w:rsidRPr="00820EE1">
        <w:t>How FX positions arise in the firm’s business, including a description of SFX positions.</w:t>
      </w:r>
    </w:p>
    <w:p w14:paraId="293AB089" w14:textId="77777777" w:rsidR="006D0A4C" w:rsidRPr="00820EE1" w:rsidRDefault="006D0A4C" w:rsidP="00820EE1">
      <w:pPr>
        <w:numPr>
          <w:ilvl w:val="1"/>
          <w:numId w:val="7"/>
        </w:numPr>
        <w:ind w:left="851"/>
      </w:pPr>
      <w:r w:rsidRPr="00820EE1">
        <w:t>How FX positions are accounted for, including any details of hedge accounting.</w:t>
      </w:r>
    </w:p>
    <w:p w14:paraId="4B934146" w14:textId="77777777" w:rsidR="006D0A4C" w:rsidRPr="00820EE1" w:rsidRDefault="006D0A4C" w:rsidP="00820EE1">
      <w:pPr>
        <w:numPr>
          <w:ilvl w:val="1"/>
          <w:numId w:val="7"/>
        </w:numPr>
        <w:ind w:left="851"/>
      </w:pPr>
      <w:r w:rsidRPr="00820EE1">
        <w:t>How the firm plans to manage SFX positions, including:</w:t>
      </w:r>
    </w:p>
    <w:p w14:paraId="6B3BFB89" w14:textId="776312C0" w:rsidR="006D0A4C" w:rsidRPr="00820EE1" w:rsidRDefault="006D0A4C" w:rsidP="00820EE1">
      <w:pPr>
        <w:numPr>
          <w:ilvl w:val="2"/>
          <w:numId w:val="8"/>
        </w:numPr>
        <w:ind w:left="1276"/>
      </w:pPr>
      <w:r w:rsidRPr="00820EE1">
        <w:t>Confirmation of which ratio the firm is attempting to protect.</w:t>
      </w:r>
    </w:p>
    <w:p w14:paraId="772DA031" w14:textId="77777777" w:rsidR="006D0A4C" w:rsidRPr="00820EE1" w:rsidRDefault="006D0A4C" w:rsidP="00820EE1">
      <w:pPr>
        <w:numPr>
          <w:ilvl w:val="2"/>
          <w:numId w:val="8"/>
        </w:numPr>
        <w:ind w:left="1276"/>
      </w:pPr>
      <w:r w:rsidRPr="00820EE1">
        <w:t>Details of SFX positions the firm plans to exclude from position risk requirements under the SFX Permission.</w:t>
      </w:r>
    </w:p>
    <w:p w14:paraId="2C676785" w14:textId="703F6CAD" w:rsidR="006D0A4C" w:rsidRPr="00820EE1" w:rsidRDefault="006D0A4C" w:rsidP="00820EE1">
      <w:pPr>
        <w:numPr>
          <w:ilvl w:val="1"/>
          <w:numId w:val="7"/>
        </w:numPr>
        <w:ind w:left="851"/>
      </w:pPr>
      <w:r w:rsidRPr="00820EE1">
        <w:t>Details of reporting/monitoring, including who will receive these, and frequency.</w:t>
      </w:r>
    </w:p>
    <w:p w14:paraId="15FB2C91" w14:textId="77777777" w:rsidR="006D0A4C" w:rsidRPr="00820EE1" w:rsidRDefault="006D0A4C" w:rsidP="00820EE1">
      <w:pPr>
        <w:numPr>
          <w:ilvl w:val="1"/>
          <w:numId w:val="7"/>
        </w:numPr>
        <w:ind w:left="851"/>
      </w:pPr>
      <w:r w:rsidRPr="00820EE1">
        <w:t>Details on how hedge effectiveness will be monitored.</w:t>
      </w:r>
    </w:p>
    <w:p w14:paraId="5FE96295" w14:textId="77777777" w:rsidR="006D0A4C" w:rsidRPr="00820EE1" w:rsidRDefault="006D0A4C" w:rsidP="00820EE1">
      <w:pPr>
        <w:numPr>
          <w:ilvl w:val="0"/>
          <w:numId w:val="6"/>
        </w:numPr>
        <w:ind w:left="426" w:hanging="219"/>
      </w:pPr>
      <w:r w:rsidRPr="00820EE1">
        <w:t>An estimate of the RWA impact on the firm of making use of the SFX Permission.</w:t>
      </w:r>
    </w:p>
    <w:p w14:paraId="1777D8E8" w14:textId="77777777" w:rsidR="006D0A4C" w:rsidRPr="00820EE1" w:rsidRDefault="006D0A4C" w:rsidP="00820EE1">
      <w:pPr>
        <w:numPr>
          <w:ilvl w:val="0"/>
          <w:numId w:val="6"/>
        </w:numPr>
        <w:ind w:left="426" w:hanging="219"/>
      </w:pPr>
      <w:r w:rsidRPr="00820EE1">
        <w:t>An analysis of how the firm’s capital ratios will change for a 10% appreciation and a 10% depreciation in FX rates assuming the SFX Permission is granted. The analysis should be provided separately for each material currency (ie each currency which is &gt;5% of RWAs). Please comment on other sensitivities/risks if relevant eg if there are non-linear effects, or whether currency mix could change significantly for factors outside the firm’s control eg a large portion of foreign loans are prepaid/foreign deposits are withdrawn on large scale etc. Please include pegged or heavily managed currencies in the analysis and comment separately on your internal assumptions/treatment of those.</w:t>
      </w:r>
    </w:p>
    <w:p w14:paraId="6BC8E989" w14:textId="77777777" w:rsidR="006D0A4C" w:rsidRPr="00820EE1" w:rsidRDefault="006D0A4C" w:rsidP="00820EE1">
      <w:pPr>
        <w:numPr>
          <w:ilvl w:val="0"/>
          <w:numId w:val="6"/>
        </w:numPr>
        <w:ind w:left="426" w:hanging="219"/>
      </w:pPr>
      <w:r w:rsidRPr="00820EE1">
        <w:t>An assessment of the potential adverse P&amp;L/capital impact arising from positions that the firm is seeking to exclude. The analysis should include any FX related cross-risks that the excluded position is sensitive to, along with the materiality of that impact relative to overall capital resources.</w:t>
      </w:r>
    </w:p>
    <w:p w14:paraId="568871EC" w14:textId="35713214" w:rsidR="00FA52BF" w:rsidRDefault="00002BD6" w:rsidP="00FA52BF">
      <w:r w:rsidRPr="00820EE1">
        <w:rPr>
          <w:highlight w:val="green"/>
        </w:rPr>
        <w:t xml:space="preserve"> </w:t>
      </w:r>
    </w:p>
    <w:p w14:paraId="6DCA1E09" w14:textId="5B1BDA09" w:rsidR="00002BD6" w:rsidRPr="00820EE1" w:rsidRDefault="00002BD6" w:rsidP="00820EE1">
      <w:pPr>
        <w:rPr>
          <w:b/>
          <w:bCs/>
        </w:rPr>
      </w:pPr>
      <w:r w:rsidRPr="00820EE1">
        <w:rPr>
          <w:b/>
          <w:bCs/>
        </w:rPr>
        <w:t xml:space="preserve">Disclosures </w:t>
      </w:r>
    </w:p>
    <w:p w14:paraId="6535B300" w14:textId="462E9D7A" w:rsidR="00002BD6" w:rsidRDefault="00002BD6" w:rsidP="00820EE1">
      <w:pPr>
        <w:numPr>
          <w:ilvl w:val="0"/>
          <w:numId w:val="6"/>
        </w:numPr>
        <w:ind w:left="426" w:hanging="219"/>
      </w:pPr>
      <w:r w:rsidRPr="00002BD6">
        <w:t xml:space="preserve">Planned external communication around SFX exposure / capital ratio sensitivity to FX movements </w:t>
      </w:r>
    </w:p>
    <w:p w14:paraId="74E2F55B" w14:textId="439D9309" w:rsidR="002C7656" w:rsidRDefault="00002BD6" w:rsidP="00AE0026">
      <w:pPr>
        <w:numPr>
          <w:ilvl w:val="0"/>
          <w:numId w:val="6"/>
        </w:numPr>
        <w:ind w:left="426" w:hanging="219"/>
      </w:pPr>
      <w:r w:rsidRPr="00002BD6">
        <w:t>Pillar 3 (Draft) disclosure</w:t>
      </w:r>
      <w:r w:rsidR="002C7656">
        <w:br w:type="page"/>
      </w:r>
    </w:p>
    <w:p w14:paraId="06DAC8D5" w14:textId="77777777" w:rsidR="002C7656" w:rsidRDefault="002C7656" w:rsidP="00AE0026">
      <w:pPr>
        <w:numPr>
          <w:ilvl w:val="0"/>
          <w:numId w:val="6"/>
        </w:numPr>
        <w:ind w:left="426" w:hanging="219"/>
        <w:sectPr w:rsidR="002C7656" w:rsidSect="001F00B3">
          <w:headerReference w:type="default" r:id="rId8"/>
          <w:footerReference w:type="default" r:id="rId9"/>
          <w:pgSz w:w="11906" w:h="16838"/>
          <w:pgMar w:top="1247" w:right="1247" w:bottom="1247" w:left="1247" w:header="709" w:footer="709" w:gutter="0"/>
          <w:cols w:space="708"/>
          <w:docGrid w:linePitch="360"/>
        </w:sectPr>
      </w:pPr>
    </w:p>
    <w:p w14:paraId="7469658E" w14:textId="77777777" w:rsidR="002C7656" w:rsidRDefault="002C7656"/>
    <w:p w14:paraId="0AA5DF43" w14:textId="663D4E2F" w:rsidR="002C7656" w:rsidRPr="00820EE1" w:rsidRDefault="00194F02">
      <w:pPr>
        <w:rPr>
          <w:b/>
          <w:bCs/>
        </w:rPr>
      </w:pPr>
      <w:r w:rsidRPr="00820EE1">
        <w:rPr>
          <w:b/>
          <w:bCs/>
        </w:rPr>
        <w:t>Quantitative information regarding structural currency positions</w:t>
      </w:r>
    </w:p>
    <w:p w14:paraId="1F966EF2" w14:textId="77777777" w:rsidR="002C7656" w:rsidRDefault="002C7656"/>
    <w:tbl>
      <w:tblPr>
        <w:tblStyle w:val="TableGrid"/>
        <w:tblW w:w="14312" w:type="dxa"/>
        <w:tblLayout w:type="fixed"/>
        <w:tblLook w:val="04A0" w:firstRow="1" w:lastRow="0" w:firstColumn="1" w:lastColumn="0" w:noHBand="0" w:noVBand="1"/>
      </w:tblPr>
      <w:tblGrid>
        <w:gridCol w:w="1555"/>
        <w:gridCol w:w="992"/>
        <w:gridCol w:w="1417"/>
        <w:gridCol w:w="1418"/>
        <w:gridCol w:w="1559"/>
        <w:gridCol w:w="1418"/>
        <w:gridCol w:w="1134"/>
        <w:gridCol w:w="1134"/>
        <w:gridCol w:w="850"/>
        <w:gridCol w:w="851"/>
        <w:gridCol w:w="807"/>
        <w:gridCol w:w="1177"/>
      </w:tblGrid>
      <w:tr w:rsidR="00A44D4A" w:rsidRPr="001B22C4" w14:paraId="06DEFB89" w14:textId="77777777" w:rsidTr="00820EE1">
        <w:tc>
          <w:tcPr>
            <w:tcW w:w="1555" w:type="dxa"/>
          </w:tcPr>
          <w:p w14:paraId="38342A7E" w14:textId="35DDF13C" w:rsidR="00194F02" w:rsidRPr="00820EE1" w:rsidRDefault="00194F02">
            <w:pPr>
              <w:rPr>
                <w:b/>
                <w:bCs/>
                <w:sz w:val="20"/>
                <w:szCs w:val="20"/>
              </w:rPr>
            </w:pPr>
            <w:r w:rsidRPr="00820EE1">
              <w:rPr>
                <w:b/>
                <w:bCs/>
                <w:sz w:val="20"/>
                <w:szCs w:val="20"/>
              </w:rPr>
              <w:t>In reporting currency</w:t>
            </w:r>
          </w:p>
        </w:tc>
        <w:tc>
          <w:tcPr>
            <w:tcW w:w="992" w:type="dxa"/>
          </w:tcPr>
          <w:p w14:paraId="444EE689" w14:textId="7F91F71E" w:rsidR="00194F02" w:rsidRPr="00820EE1" w:rsidRDefault="00194F02">
            <w:pPr>
              <w:rPr>
                <w:b/>
                <w:bCs/>
                <w:sz w:val="20"/>
                <w:szCs w:val="20"/>
              </w:rPr>
            </w:pPr>
            <w:r w:rsidRPr="00820EE1">
              <w:rPr>
                <w:b/>
                <w:bCs/>
                <w:sz w:val="20"/>
                <w:szCs w:val="20"/>
              </w:rPr>
              <w:t>RWAs</w:t>
            </w:r>
          </w:p>
        </w:tc>
        <w:tc>
          <w:tcPr>
            <w:tcW w:w="1417" w:type="dxa"/>
          </w:tcPr>
          <w:p w14:paraId="53B280AA" w14:textId="17415684" w:rsidR="00194F02" w:rsidRPr="00820EE1" w:rsidRDefault="00194F02" w:rsidP="00194F02">
            <w:pPr>
              <w:rPr>
                <w:b/>
                <w:bCs/>
                <w:sz w:val="20"/>
                <w:szCs w:val="20"/>
              </w:rPr>
            </w:pPr>
            <w:r w:rsidRPr="00820EE1">
              <w:rPr>
                <w:b/>
                <w:bCs/>
                <w:sz w:val="20"/>
                <w:szCs w:val="20"/>
              </w:rPr>
              <w:t>(A)</w:t>
            </w:r>
          </w:p>
          <w:p w14:paraId="604AAF4A" w14:textId="77777777" w:rsidR="00194F02" w:rsidRPr="00820EE1" w:rsidRDefault="00194F02" w:rsidP="00820EE1">
            <w:pPr>
              <w:rPr>
                <w:b/>
                <w:bCs/>
                <w:sz w:val="20"/>
                <w:szCs w:val="20"/>
              </w:rPr>
            </w:pPr>
          </w:p>
          <w:p w14:paraId="32AFDC17" w14:textId="77777777" w:rsidR="001B22C4" w:rsidRPr="00820EE1" w:rsidRDefault="00194F02" w:rsidP="00194F02">
            <w:pPr>
              <w:rPr>
                <w:b/>
                <w:bCs/>
                <w:sz w:val="20"/>
                <w:szCs w:val="20"/>
              </w:rPr>
            </w:pPr>
            <w:r w:rsidRPr="00820EE1">
              <w:rPr>
                <w:b/>
                <w:bCs/>
                <w:sz w:val="20"/>
                <w:szCs w:val="20"/>
              </w:rPr>
              <w:t>Investment</w:t>
            </w:r>
          </w:p>
          <w:p w14:paraId="640F42EC" w14:textId="65EB4268" w:rsidR="00194F02" w:rsidRPr="00820EE1" w:rsidRDefault="00194F02" w:rsidP="001B22C4">
            <w:pPr>
              <w:rPr>
                <w:b/>
                <w:bCs/>
                <w:sz w:val="20"/>
                <w:szCs w:val="20"/>
              </w:rPr>
            </w:pPr>
            <w:r w:rsidRPr="00820EE1">
              <w:rPr>
                <w:b/>
                <w:bCs/>
                <w:sz w:val="20"/>
                <w:szCs w:val="20"/>
              </w:rPr>
              <w:t>/</w:t>
            </w:r>
            <w:proofErr w:type="gramStart"/>
            <w:r w:rsidRPr="00820EE1">
              <w:rPr>
                <w:b/>
                <w:bCs/>
                <w:sz w:val="20"/>
                <w:szCs w:val="20"/>
              </w:rPr>
              <w:t>net</w:t>
            </w:r>
            <w:proofErr w:type="gramEnd"/>
            <w:r w:rsidRPr="00820EE1">
              <w:rPr>
                <w:b/>
                <w:bCs/>
                <w:sz w:val="20"/>
                <w:szCs w:val="20"/>
              </w:rPr>
              <w:t xml:space="preserve"> asset value (in subs and branches)</w:t>
            </w:r>
          </w:p>
        </w:tc>
        <w:tc>
          <w:tcPr>
            <w:tcW w:w="1418" w:type="dxa"/>
          </w:tcPr>
          <w:p w14:paraId="7F0B77FA" w14:textId="77777777" w:rsidR="00194F02" w:rsidRPr="00820EE1" w:rsidRDefault="00194F02" w:rsidP="00194F02">
            <w:pPr>
              <w:rPr>
                <w:b/>
                <w:bCs/>
                <w:sz w:val="20"/>
                <w:szCs w:val="20"/>
              </w:rPr>
            </w:pPr>
          </w:p>
          <w:p w14:paraId="6BFC43FA" w14:textId="77777777" w:rsidR="00194F02" w:rsidRPr="00820EE1" w:rsidRDefault="00194F02" w:rsidP="00194F02">
            <w:pPr>
              <w:rPr>
                <w:b/>
                <w:bCs/>
                <w:sz w:val="20"/>
                <w:szCs w:val="20"/>
              </w:rPr>
            </w:pPr>
            <w:r w:rsidRPr="00820EE1">
              <w:rPr>
                <w:b/>
                <w:bCs/>
                <w:sz w:val="20"/>
                <w:szCs w:val="20"/>
              </w:rPr>
              <w:t xml:space="preserve">(i) </w:t>
            </w:r>
          </w:p>
          <w:p w14:paraId="76E5AF56" w14:textId="7C0F032B" w:rsidR="00194F02" w:rsidRPr="00820EE1" w:rsidRDefault="00194F02" w:rsidP="00194F02">
            <w:pPr>
              <w:rPr>
                <w:b/>
                <w:bCs/>
                <w:sz w:val="20"/>
                <w:szCs w:val="20"/>
              </w:rPr>
            </w:pPr>
            <w:r w:rsidRPr="00820EE1">
              <w:rPr>
                <w:b/>
                <w:bCs/>
                <w:sz w:val="20"/>
                <w:szCs w:val="20"/>
              </w:rPr>
              <w:t>Borrowings used to manage (A)</w:t>
            </w:r>
          </w:p>
        </w:tc>
        <w:tc>
          <w:tcPr>
            <w:tcW w:w="1559" w:type="dxa"/>
          </w:tcPr>
          <w:p w14:paraId="70CA2B3B" w14:textId="77777777" w:rsidR="00194F02" w:rsidRPr="00820EE1" w:rsidRDefault="00194F02">
            <w:pPr>
              <w:rPr>
                <w:b/>
                <w:bCs/>
                <w:sz w:val="20"/>
                <w:szCs w:val="20"/>
              </w:rPr>
            </w:pPr>
          </w:p>
          <w:p w14:paraId="2C2364C6" w14:textId="77777777" w:rsidR="00194F02" w:rsidRPr="00820EE1" w:rsidRDefault="00194F02">
            <w:pPr>
              <w:rPr>
                <w:b/>
                <w:bCs/>
                <w:sz w:val="20"/>
                <w:szCs w:val="20"/>
              </w:rPr>
            </w:pPr>
            <w:r w:rsidRPr="00820EE1">
              <w:rPr>
                <w:b/>
                <w:bCs/>
                <w:sz w:val="20"/>
                <w:szCs w:val="20"/>
              </w:rPr>
              <w:t xml:space="preserve">ii) </w:t>
            </w:r>
          </w:p>
          <w:p w14:paraId="1FE5A589" w14:textId="55C61BBF" w:rsidR="00194F02" w:rsidRPr="00820EE1" w:rsidRDefault="00194F02">
            <w:pPr>
              <w:rPr>
                <w:b/>
                <w:bCs/>
                <w:sz w:val="20"/>
                <w:szCs w:val="20"/>
              </w:rPr>
            </w:pPr>
            <w:r w:rsidRPr="00820EE1">
              <w:rPr>
                <w:b/>
                <w:bCs/>
                <w:sz w:val="20"/>
                <w:szCs w:val="20"/>
              </w:rPr>
              <w:t>Financial instruments used to manage (A)</w:t>
            </w:r>
          </w:p>
        </w:tc>
        <w:tc>
          <w:tcPr>
            <w:tcW w:w="1418" w:type="dxa"/>
          </w:tcPr>
          <w:p w14:paraId="36C2FDF1" w14:textId="77777777" w:rsidR="00194F02" w:rsidRPr="00820EE1" w:rsidRDefault="00194F02">
            <w:pPr>
              <w:rPr>
                <w:b/>
                <w:bCs/>
                <w:sz w:val="20"/>
                <w:szCs w:val="20"/>
              </w:rPr>
            </w:pPr>
          </w:p>
          <w:p w14:paraId="0F761D39" w14:textId="77777777" w:rsidR="00194F02" w:rsidRPr="00820EE1" w:rsidRDefault="00194F02" w:rsidP="00194F02">
            <w:pPr>
              <w:rPr>
                <w:b/>
                <w:bCs/>
                <w:sz w:val="20"/>
                <w:szCs w:val="20"/>
              </w:rPr>
            </w:pPr>
            <w:r w:rsidRPr="00820EE1">
              <w:rPr>
                <w:b/>
                <w:bCs/>
                <w:sz w:val="20"/>
                <w:szCs w:val="20"/>
              </w:rPr>
              <w:t xml:space="preserve">iii) </w:t>
            </w:r>
          </w:p>
          <w:p w14:paraId="1B0267CF" w14:textId="7D47B8B6" w:rsidR="00194F02" w:rsidRPr="00820EE1" w:rsidRDefault="00194F02" w:rsidP="00194F02">
            <w:pPr>
              <w:rPr>
                <w:b/>
                <w:bCs/>
                <w:sz w:val="20"/>
                <w:szCs w:val="20"/>
              </w:rPr>
            </w:pPr>
            <w:r w:rsidRPr="00820EE1">
              <w:rPr>
                <w:b/>
                <w:bCs/>
                <w:sz w:val="20"/>
                <w:szCs w:val="20"/>
              </w:rPr>
              <w:t>Other instruments /positions used to manage (A) – please specif</w:t>
            </w:r>
            <w:r w:rsidR="001B22C4" w:rsidRPr="00820EE1">
              <w:rPr>
                <w:b/>
                <w:bCs/>
                <w:sz w:val="20"/>
                <w:szCs w:val="20"/>
              </w:rPr>
              <w:t>y</w:t>
            </w:r>
            <w:r w:rsidR="001B22C4" w:rsidRPr="00820EE1">
              <w:rPr>
                <w:rStyle w:val="FootnoteReference"/>
                <w:b/>
                <w:bCs/>
                <w:sz w:val="20"/>
                <w:szCs w:val="20"/>
              </w:rPr>
              <w:footnoteReference w:id="1"/>
            </w:r>
          </w:p>
        </w:tc>
        <w:tc>
          <w:tcPr>
            <w:tcW w:w="1134" w:type="dxa"/>
          </w:tcPr>
          <w:p w14:paraId="0B97FDED" w14:textId="77777777" w:rsidR="00194F02" w:rsidRPr="00820EE1" w:rsidRDefault="00194F02" w:rsidP="00194F02">
            <w:pPr>
              <w:rPr>
                <w:b/>
                <w:bCs/>
                <w:sz w:val="20"/>
                <w:szCs w:val="20"/>
              </w:rPr>
            </w:pPr>
            <w:r w:rsidRPr="00820EE1">
              <w:rPr>
                <w:b/>
                <w:bCs/>
                <w:sz w:val="20"/>
                <w:szCs w:val="20"/>
              </w:rPr>
              <w:t>(B)</w:t>
            </w:r>
          </w:p>
          <w:p w14:paraId="7D210AF4" w14:textId="77777777" w:rsidR="00194F02" w:rsidRPr="00820EE1" w:rsidRDefault="00194F02" w:rsidP="00194F02">
            <w:pPr>
              <w:rPr>
                <w:b/>
                <w:bCs/>
                <w:sz w:val="20"/>
                <w:szCs w:val="20"/>
              </w:rPr>
            </w:pPr>
          </w:p>
          <w:p w14:paraId="454933F2" w14:textId="174F28C4" w:rsidR="00194F02" w:rsidRPr="00820EE1" w:rsidRDefault="00194F02" w:rsidP="00194F02">
            <w:pPr>
              <w:rPr>
                <w:b/>
                <w:bCs/>
                <w:sz w:val="20"/>
                <w:szCs w:val="20"/>
              </w:rPr>
            </w:pPr>
            <w:r w:rsidRPr="00820EE1">
              <w:rPr>
                <w:b/>
                <w:bCs/>
                <w:sz w:val="20"/>
                <w:szCs w:val="20"/>
              </w:rPr>
              <w:t>Net open position revaluing to share-holders equity</w:t>
            </w:r>
          </w:p>
        </w:tc>
        <w:tc>
          <w:tcPr>
            <w:tcW w:w="1134" w:type="dxa"/>
          </w:tcPr>
          <w:p w14:paraId="21EEE98B" w14:textId="6BF76DC3" w:rsidR="00194F02" w:rsidRPr="00820EE1" w:rsidRDefault="00194F02">
            <w:pPr>
              <w:rPr>
                <w:b/>
                <w:bCs/>
                <w:sz w:val="20"/>
                <w:szCs w:val="20"/>
              </w:rPr>
            </w:pPr>
            <w:r w:rsidRPr="00820EE1">
              <w:rPr>
                <w:b/>
                <w:bCs/>
                <w:sz w:val="20"/>
                <w:szCs w:val="20"/>
              </w:rPr>
              <w:t xml:space="preserve">Other CET1 capital </w:t>
            </w:r>
            <w:r w:rsidR="009B4D51">
              <w:rPr>
                <w:b/>
                <w:bCs/>
                <w:sz w:val="20"/>
                <w:szCs w:val="20"/>
              </w:rPr>
              <w:t>after</w:t>
            </w:r>
            <w:r w:rsidR="009B4D51" w:rsidRPr="00820EE1">
              <w:rPr>
                <w:b/>
                <w:bCs/>
                <w:sz w:val="20"/>
                <w:szCs w:val="20"/>
              </w:rPr>
              <w:t xml:space="preserve"> </w:t>
            </w:r>
            <w:r w:rsidRPr="00820EE1">
              <w:rPr>
                <w:b/>
                <w:bCs/>
                <w:sz w:val="20"/>
                <w:szCs w:val="20"/>
              </w:rPr>
              <w:t>dedu-ctions</w:t>
            </w:r>
          </w:p>
        </w:tc>
        <w:tc>
          <w:tcPr>
            <w:tcW w:w="850" w:type="dxa"/>
          </w:tcPr>
          <w:p w14:paraId="65822FD1" w14:textId="44651CBF" w:rsidR="00194F02" w:rsidRPr="00820EE1" w:rsidRDefault="00194F02">
            <w:pPr>
              <w:rPr>
                <w:b/>
                <w:bCs/>
                <w:sz w:val="20"/>
                <w:szCs w:val="20"/>
              </w:rPr>
            </w:pPr>
            <w:r w:rsidRPr="00820EE1">
              <w:rPr>
                <w:b/>
                <w:bCs/>
                <w:sz w:val="20"/>
                <w:szCs w:val="20"/>
              </w:rPr>
              <w:t>AT1</w:t>
            </w:r>
          </w:p>
        </w:tc>
        <w:tc>
          <w:tcPr>
            <w:tcW w:w="851" w:type="dxa"/>
          </w:tcPr>
          <w:p w14:paraId="4E715937" w14:textId="04519525" w:rsidR="00194F02" w:rsidRPr="00820EE1" w:rsidRDefault="00194F02">
            <w:pPr>
              <w:rPr>
                <w:b/>
                <w:bCs/>
                <w:sz w:val="20"/>
                <w:szCs w:val="20"/>
              </w:rPr>
            </w:pPr>
            <w:r w:rsidRPr="00820EE1">
              <w:rPr>
                <w:b/>
                <w:bCs/>
                <w:sz w:val="20"/>
                <w:szCs w:val="20"/>
              </w:rPr>
              <w:t>Tier 2</w:t>
            </w:r>
          </w:p>
        </w:tc>
        <w:tc>
          <w:tcPr>
            <w:tcW w:w="807" w:type="dxa"/>
          </w:tcPr>
          <w:p w14:paraId="6D786938" w14:textId="04533063" w:rsidR="00194F02" w:rsidRPr="00820EE1" w:rsidRDefault="00194F02">
            <w:pPr>
              <w:rPr>
                <w:b/>
                <w:bCs/>
                <w:sz w:val="20"/>
                <w:szCs w:val="20"/>
              </w:rPr>
            </w:pPr>
            <w:r w:rsidRPr="00820EE1">
              <w:rPr>
                <w:b/>
                <w:bCs/>
                <w:sz w:val="20"/>
                <w:szCs w:val="20"/>
              </w:rPr>
              <w:t>MREL</w:t>
            </w:r>
          </w:p>
        </w:tc>
        <w:tc>
          <w:tcPr>
            <w:tcW w:w="1177" w:type="dxa"/>
            <w:shd w:val="clear" w:color="auto" w:fill="D9D9D9" w:themeFill="background1" w:themeFillShade="D9"/>
          </w:tcPr>
          <w:p w14:paraId="3F698C2B" w14:textId="6EB81DF4" w:rsidR="00194F02" w:rsidRPr="00820EE1" w:rsidRDefault="00194F02">
            <w:pPr>
              <w:rPr>
                <w:b/>
                <w:bCs/>
                <w:sz w:val="20"/>
                <w:szCs w:val="20"/>
              </w:rPr>
            </w:pPr>
            <w:r w:rsidRPr="00820EE1">
              <w:rPr>
                <w:b/>
                <w:bCs/>
                <w:sz w:val="20"/>
                <w:szCs w:val="20"/>
              </w:rPr>
              <w:t>Memo: FX rate used to convert into reporting currency</w:t>
            </w:r>
          </w:p>
        </w:tc>
      </w:tr>
      <w:tr w:rsidR="00015CC2" w:rsidRPr="001B22C4" w14:paraId="7B7B0CEC" w14:textId="77777777" w:rsidTr="00820EE1">
        <w:trPr>
          <w:trHeight w:val="408"/>
        </w:trPr>
        <w:tc>
          <w:tcPr>
            <w:tcW w:w="1555" w:type="dxa"/>
          </w:tcPr>
          <w:p w14:paraId="795821B5" w14:textId="5358F9AC" w:rsidR="00015CC2" w:rsidRPr="00820EE1" w:rsidRDefault="00015CC2" w:rsidP="00015CC2">
            <w:pPr>
              <w:rPr>
                <w:b/>
                <w:bCs/>
                <w:sz w:val="20"/>
                <w:szCs w:val="20"/>
              </w:rPr>
            </w:pPr>
            <w:r w:rsidRPr="00820EE1">
              <w:rPr>
                <w:b/>
                <w:bCs/>
                <w:sz w:val="20"/>
                <w:szCs w:val="20"/>
              </w:rPr>
              <w:t>Reporting ccy</w:t>
            </w:r>
          </w:p>
        </w:tc>
        <w:tc>
          <w:tcPr>
            <w:tcW w:w="992" w:type="dxa"/>
          </w:tcPr>
          <w:p w14:paraId="45121636" w14:textId="6C848001"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7" w:type="dxa"/>
          </w:tcPr>
          <w:p w14:paraId="36AAD8E2" w14:textId="076C50B9" w:rsidR="00015CC2" w:rsidRPr="00820EE1" w:rsidRDefault="00015CC2" w:rsidP="00015CC2">
            <w:pPr>
              <w:rPr>
                <w:sz w:val="20"/>
                <w:szCs w:val="20"/>
              </w:rPr>
            </w:pPr>
            <w:r w:rsidRPr="00521442">
              <w:rPr>
                <w:sz w:val="20"/>
                <w:szCs w:val="20"/>
              </w:rPr>
              <w:fldChar w:fldCharType="begin">
                <w:ffData>
                  <w:name w:val="Text1"/>
                  <w:enabled/>
                  <w:calcOnExit w:val="0"/>
                  <w:textInput/>
                </w:ffData>
              </w:fldChar>
            </w:r>
            <w:bookmarkStart w:id="1" w:name="Text1"/>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bookmarkEnd w:id="1"/>
          </w:p>
        </w:tc>
        <w:tc>
          <w:tcPr>
            <w:tcW w:w="1418" w:type="dxa"/>
          </w:tcPr>
          <w:p w14:paraId="49369FC9" w14:textId="51B32F5F"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559" w:type="dxa"/>
          </w:tcPr>
          <w:p w14:paraId="1837E579" w14:textId="509FE253"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4B661419" w14:textId="5AA79D0B"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436C9D6D" w14:textId="4146C6A1"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61EB0063" w14:textId="2640DD6B"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0" w:type="dxa"/>
          </w:tcPr>
          <w:p w14:paraId="0F7ACFF4" w14:textId="0D402739"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1" w:type="dxa"/>
          </w:tcPr>
          <w:p w14:paraId="75886C06" w14:textId="3F80FB4C"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07" w:type="dxa"/>
          </w:tcPr>
          <w:p w14:paraId="0DA51EB7" w14:textId="1ACBA983"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77" w:type="dxa"/>
            <w:shd w:val="clear" w:color="auto" w:fill="D9D9D9" w:themeFill="background1" w:themeFillShade="D9"/>
          </w:tcPr>
          <w:p w14:paraId="129801C3" w14:textId="754DEEC9"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r>
      <w:tr w:rsidR="00015CC2" w:rsidRPr="001B22C4" w14:paraId="1CAF9603" w14:textId="77777777" w:rsidTr="00820EE1">
        <w:trPr>
          <w:trHeight w:val="408"/>
        </w:trPr>
        <w:tc>
          <w:tcPr>
            <w:tcW w:w="1555" w:type="dxa"/>
          </w:tcPr>
          <w:p w14:paraId="46FAF15C" w14:textId="5D0626E0" w:rsidR="00015CC2" w:rsidRPr="00820EE1" w:rsidRDefault="00015CC2" w:rsidP="00015CC2">
            <w:pPr>
              <w:rPr>
                <w:b/>
                <w:bCs/>
                <w:sz w:val="20"/>
                <w:szCs w:val="20"/>
              </w:rPr>
            </w:pPr>
            <w:r w:rsidRPr="00820EE1">
              <w:rPr>
                <w:b/>
                <w:bCs/>
                <w:sz w:val="20"/>
                <w:szCs w:val="20"/>
              </w:rPr>
              <w:t>Foreign ccy 1</w:t>
            </w:r>
          </w:p>
        </w:tc>
        <w:tc>
          <w:tcPr>
            <w:tcW w:w="992" w:type="dxa"/>
          </w:tcPr>
          <w:p w14:paraId="240A361B" w14:textId="51E736FD"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7" w:type="dxa"/>
          </w:tcPr>
          <w:p w14:paraId="201D0028" w14:textId="61617F9A"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487B7424" w14:textId="622D23A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559" w:type="dxa"/>
          </w:tcPr>
          <w:p w14:paraId="2CBD182B" w14:textId="20BA7680"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61948835" w14:textId="6B409233"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0AE80920" w14:textId="533EEFD2"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36CA81ED" w14:textId="217B07E6"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0" w:type="dxa"/>
          </w:tcPr>
          <w:p w14:paraId="11E72BF4" w14:textId="712D6330"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1" w:type="dxa"/>
          </w:tcPr>
          <w:p w14:paraId="6C8DF4B9" w14:textId="5235706B"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07" w:type="dxa"/>
          </w:tcPr>
          <w:p w14:paraId="1CF2492E" w14:textId="1232D7AA"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77" w:type="dxa"/>
            <w:shd w:val="clear" w:color="auto" w:fill="D9D9D9" w:themeFill="background1" w:themeFillShade="D9"/>
          </w:tcPr>
          <w:p w14:paraId="15EE39D0" w14:textId="49CE80EB"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r>
      <w:tr w:rsidR="00015CC2" w:rsidRPr="001B22C4" w14:paraId="7AFF9E0C" w14:textId="77777777" w:rsidTr="00820EE1">
        <w:trPr>
          <w:trHeight w:val="408"/>
        </w:trPr>
        <w:tc>
          <w:tcPr>
            <w:tcW w:w="1555" w:type="dxa"/>
          </w:tcPr>
          <w:p w14:paraId="1D37E9CC" w14:textId="65249370" w:rsidR="00015CC2" w:rsidRPr="00820EE1" w:rsidRDefault="00015CC2" w:rsidP="00015CC2">
            <w:pPr>
              <w:rPr>
                <w:b/>
                <w:bCs/>
                <w:sz w:val="20"/>
                <w:szCs w:val="20"/>
              </w:rPr>
            </w:pPr>
            <w:r w:rsidRPr="00820EE1">
              <w:rPr>
                <w:b/>
                <w:bCs/>
                <w:sz w:val="20"/>
                <w:szCs w:val="20"/>
              </w:rPr>
              <w:t>Foreign cc</w:t>
            </w:r>
            <w:r>
              <w:rPr>
                <w:b/>
                <w:bCs/>
                <w:sz w:val="20"/>
                <w:szCs w:val="20"/>
              </w:rPr>
              <w:t>y</w:t>
            </w:r>
            <w:r w:rsidRPr="00820EE1">
              <w:rPr>
                <w:b/>
                <w:bCs/>
                <w:sz w:val="20"/>
                <w:szCs w:val="20"/>
              </w:rPr>
              <w:t xml:space="preserve"> 2</w:t>
            </w:r>
          </w:p>
        </w:tc>
        <w:tc>
          <w:tcPr>
            <w:tcW w:w="992" w:type="dxa"/>
          </w:tcPr>
          <w:p w14:paraId="0510FB13" w14:textId="2E356772"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7" w:type="dxa"/>
          </w:tcPr>
          <w:p w14:paraId="5895768D" w14:textId="74693233"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3ED60BB5" w14:textId="78BDBD31"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559" w:type="dxa"/>
          </w:tcPr>
          <w:p w14:paraId="706FE32D" w14:textId="2C60D901"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495BE823" w14:textId="27359B40"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1E7EB21A" w14:textId="30832342"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777CB1B6" w14:textId="07EAB49C"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0" w:type="dxa"/>
          </w:tcPr>
          <w:p w14:paraId="05BA7A99" w14:textId="75430C17"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1" w:type="dxa"/>
          </w:tcPr>
          <w:p w14:paraId="5DFDED36" w14:textId="6726A29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07" w:type="dxa"/>
          </w:tcPr>
          <w:p w14:paraId="71822235" w14:textId="43885CC4"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77" w:type="dxa"/>
            <w:shd w:val="clear" w:color="auto" w:fill="D9D9D9" w:themeFill="background1" w:themeFillShade="D9"/>
          </w:tcPr>
          <w:p w14:paraId="2867332E" w14:textId="12348BF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r>
      <w:tr w:rsidR="00015CC2" w:rsidRPr="001B22C4" w14:paraId="28AA78B4" w14:textId="77777777" w:rsidTr="00820EE1">
        <w:trPr>
          <w:trHeight w:val="408"/>
        </w:trPr>
        <w:tc>
          <w:tcPr>
            <w:tcW w:w="1555" w:type="dxa"/>
          </w:tcPr>
          <w:p w14:paraId="55D40808" w14:textId="216674F4" w:rsidR="00015CC2" w:rsidRPr="00820EE1" w:rsidRDefault="00015CC2" w:rsidP="00015CC2">
            <w:pPr>
              <w:rPr>
                <w:b/>
                <w:bCs/>
                <w:sz w:val="20"/>
                <w:szCs w:val="20"/>
              </w:rPr>
            </w:pPr>
            <w:r w:rsidRPr="00820EE1">
              <w:rPr>
                <w:b/>
                <w:bCs/>
                <w:sz w:val="20"/>
                <w:szCs w:val="20"/>
              </w:rPr>
              <w:t>…</w:t>
            </w:r>
          </w:p>
        </w:tc>
        <w:tc>
          <w:tcPr>
            <w:tcW w:w="992" w:type="dxa"/>
          </w:tcPr>
          <w:p w14:paraId="42450514" w14:textId="51CE4A9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7" w:type="dxa"/>
          </w:tcPr>
          <w:p w14:paraId="7212819E" w14:textId="02B7C704"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79DDC49A" w14:textId="221006DA"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559" w:type="dxa"/>
          </w:tcPr>
          <w:p w14:paraId="1CF84ABC" w14:textId="1A71C04D"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2A1AEBC1" w14:textId="4E91AF4E"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34348C2A" w14:textId="31EC57E5"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6CE0B8DD" w14:textId="521F8509"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0" w:type="dxa"/>
          </w:tcPr>
          <w:p w14:paraId="0420E602" w14:textId="2833BEAD"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1" w:type="dxa"/>
          </w:tcPr>
          <w:p w14:paraId="7D24879B" w14:textId="5038865F"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07" w:type="dxa"/>
          </w:tcPr>
          <w:p w14:paraId="7D733DF1" w14:textId="615B940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77" w:type="dxa"/>
            <w:shd w:val="clear" w:color="auto" w:fill="D9D9D9" w:themeFill="background1" w:themeFillShade="D9"/>
          </w:tcPr>
          <w:p w14:paraId="491C3179" w14:textId="04EA5F59"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r>
      <w:tr w:rsidR="00015CC2" w:rsidRPr="001B22C4" w14:paraId="4A792C16" w14:textId="77777777" w:rsidTr="00820EE1">
        <w:trPr>
          <w:trHeight w:val="408"/>
        </w:trPr>
        <w:tc>
          <w:tcPr>
            <w:tcW w:w="1555" w:type="dxa"/>
          </w:tcPr>
          <w:p w14:paraId="5628FE55" w14:textId="5F894006" w:rsidR="00015CC2" w:rsidRPr="00820EE1" w:rsidRDefault="00015CC2" w:rsidP="00015CC2">
            <w:pPr>
              <w:rPr>
                <w:b/>
                <w:bCs/>
                <w:sz w:val="20"/>
                <w:szCs w:val="20"/>
              </w:rPr>
            </w:pPr>
            <w:r w:rsidRPr="00820EE1">
              <w:rPr>
                <w:b/>
                <w:bCs/>
                <w:sz w:val="20"/>
                <w:szCs w:val="20"/>
              </w:rPr>
              <w:t>Other</w:t>
            </w:r>
          </w:p>
        </w:tc>
        <w:tc>
          <w:tcPr>
            <w:tcW w:w="992" w:type="dxa"/>
          </w:tcPr>
          <w:p w14:paraId="7DB1D5AC" w14:textId="72107C50"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7" w:type="dxa"/>
          </w:tcPr>
          <w:p w14:paraId="61BB09C2" w14:textId="5F5A9AED"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75B999D4" w14:textId="5BE38B05"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559" w:type="dxa"/>
          </w:tcPr>
          <w:p w14:paraId="4E21B58F" w14:textId="18EB01A6"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6C804160" w14:textId="45FF20FF"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016C5870" w14:textId="52F4B984"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2A5F1CAD" w14:textId="1E3F853C"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0" w:type="dxa"/>
          </w:tcPr>
          <w:p w14:paraId="1DDBCF9F" w14:textId="6426B11C"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1" w:type="dxa"/>
          </w:tcPr>
          <w:p w14:paraId="14B8D823" w14:textId="2387CC9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07" w:type="dxa"/>
          </w:tcPr>
          <w:p w14:paraId="1248743C" w14:textId="114AE607"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77" w:type="dxa"/>
            <w:shd w:val="clear" w:color="auto" w:fill="D9D9D9" w:themeFill="background1" w:themeFillShade="D9"/>
          </w:tcPr>
          <w:p w14:paraId="009FDA26" w14:textId="2E5879ED"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r>
      <w:tr w:rsidR="00015CC2" w:rsidRPr="001B22C4" w14:paraId="167CA404" w14:textId="77777777" w:rsidTr="00820EE1">
        <w:trPr>
          <w:trHeight w:val="408"/>
        </w:trPr>
        <w:tc>
          <w:tcPr>
            <w:tcW w:w="1555" w:type="dxa"/>
          </w:tcPr>
          <w:p w14:paraId="5012AA47" w14:textId="05A2AD92" w:rsidR="00015CC2" w:rsidRPr="00820EE1" w:rsidRDefault="00015CC2" w:rsidP="00015CC2">
            <w:pPr>
              <w:rPr>
                <w:b/>
                <w:bCs/>
                <w:sz w:val="20"/>
                <w:szCs w:val="20"/>
              </w:rPr>
            </w:pPr>
            <w:r w:rsidRPr="00820EE1">
              <w:rPr>
                <w:b/>
                <w:bCs/>
                <w:sz w:val="20"/>
                <w:szCs w:val="20"/>
              </w:rPr>
              <w:t>Total (Group)</w:t>
            </w:r>
          </w:p>
        </w:tc>
        <w:tc>
          <w:tcPr>
            <w:tcW w:w="992" w:type="dxa"/>
          </w:tcPr>
          <w:p w14:paraId="771B57E8" w14:textId="7D7DF3C2"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7" w:type="dxa"/>
          </w:tcPr>
          <w:p w14:paraId="6F08519F" w14:textId="31F651F7"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2D3021CC" w14:textId="43593700"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559" w:type="dxa"/>
          </w:tcPr>
          <w:p w14:paraId="2A8D4B47" w14:textId="0AAAEF36"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418" w:type="dxa"/>
          </w:tcPr>
          <w:p w14:paraId="098DB72A" w14:textId="67A1B26C"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1CB88DF7" w14:textId="117DE82E"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34" w:type="dxa"/>
          </w:tcPr>
          <w:p w14:paraId="6F2B100C" w14:textId="05E715E8"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0" w:type="dxa"/>
          </w:tcPr>
          <w:p w14:paraId="62139BF6" w14:textId="3B657D34"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51" w:type="dxa"/>
          </w:tcPr>
          <w:p w14:paraId="25531319" w14:textId="2BC0B425"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807" w:type="dxa"/>
          </w:tcPr>
          <w:p w14:paraId="7F105AAE" w14:textId="01675C56"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c>
          <w:tcPr>
            <w:tcW w:w="1177" w:type="dxa"/>
            <w:shd w:val="clear" w:color="auto" w:fill="D9D9D9" w:themeFill="background1" w:themeFillShade="D9"/>
          </w:tcPr>
          <w:p w14:paraId="3173B2AF" w14:textId="134A5377" w:rsidR="00015CC2" w:rsidRPr="00820EE1" w:rsidRDefault="00015CC2" w:rsidP="00015CC2">
            <w:pPr>
              <w:rPr>
                <w:sz w:val="20"/>
                <w:szCs w:val="20"/>
              </w:rPr>
            </w:pPr>
            <w:r w:rsidRPr="00521442">
              <w:rPr>
                <w:sz w:val="20"/>
                <w:szCs w:val="20"/>
              </w:rPr>
              <w:fldChar w:fldCharType="begin">
                <w:ffData>
                  <w:name w:val="Text1"/>
                  <w:enabled/>
                  <w:calcOnExit w:val="0"/>
                  <w:textInput/>
                </w:ffData>
              </w:fldChar>
            </w:r>
            <w:r w:rsidRPr="00521442">
              <w:rPr>
                <w:sz w:val="20"/>
                <w:szCs w:val="20"/>
              </w:rPr>
              <w:instrText xml:space="preserve"> FORMTEXT </w:instrText>
            </w:r>
            <w:r w:rsidRPr="00521442">
              <w:rPr>
                <w:sz w:val="20"/>
                <w:szCs w:val="20"/>
              </w:rPr>
            </w:r>
            <w:r w:rsidRPr="00521442">
              <w:rPr>
                <w:sz w:val="20"/>
                <w:szCs w:val="20"/>
              </w:rPr>
              <w:fldChar w:fldCharType="separate"/>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noProof/>
                <w:sz w:val="20"/>
                <w:szCs w:val="20"/>
              </w:rPr>
              <w:t> </w:t>
            </w:r>
            <w:r w:rsidRPr="00521442">
              <w:rPr>
                <w:sz w:val="20"/>
                <w:szCs w:val="20"/>
              </w:rPr>
              <w:fldChar w:fldCharType="end"/>
            </w:r>
          </w:p>
        </w:tc>
      </w:tr>
    </w:tbl>
    <w:p w14:paraId="41647A0F" w14:textId="0F1BBD82" w:rsidR="00194F02" w:rsidRDefault="001B22C4">
      <w:r>
        <w:t>Include all currencies that are material (&gt;5% RWAs) and summarise the remaining under ‘other’</w:t>
      </w:r>
    </w:p>
    <w:p w14:paraId="755F219E" w14:textId="77777777" w:rsidR="001B22C4" w:rsidRDefault="001B22C4"/>
    <w:p w14:paraId="2E824654" w14:textId="77777777" w:rsidR="001B22C4" w:rsidRDefault="001B22C4"/>
    <w:p w14:paraId="19A46DBB" w14:textId="77777777" w:rsidR="001B22C4" w:rsidRDefault="001B22C4">
      <w:r w:rsidRPr="001B22C4">
        <w:t xml:space="preserve">Please add any additional information / explanation as required, for instance: </w:t>
      </w:r>
    </w:p>
    <w:p w14:paraId="7DACBBC3" w14:textId="46DE6580" w:rsidR="001B22C4" w:rsidRDefault="001B22C4" w:rsidP="00820EE1">
      <w:pPr>
        <w:pStyle w:val="ListParagraph"/>
        <w:numPr>
          <w:ilvl w:val="1"/>
          <w:numId w:val="2"/>
        </w:numPr>
        <w:ind w:left="426"/>
      </w:pPr>
      <w:r w:rsidRPr="001B22C4">
        <w:t xml:space="preserve">Key </w:t>
      </w:r>
      <w:proofErr w:type="gramStart"/>
      <w:r w:rsidRPr="001B22C4">
        <w:t>assumptions;</w:t>
      </w:r>
      <w:proofErr w:type="gramEnd"/>
      <w:r w:rsidRPr="001B22C4">
        <w:t xml:space="preserve"> </w:t>
      </w:r>
    </w:p>
    <w:p w14:paraId="02ADD3D7" w14:textId="180D54E2" w:rsidR="001B22C4" w:rsidRDefault="001B22C4" w:rsidP="00820EE1">
      <w:pPr>
        <w:pStyle w:val="ListParagraph"/>
        <w:numPr>
          <w:ilvl w:val="1"/>
          <w:numId w:val="2"/>
        </w:numPr>
        <w:ind w:left="426"/>
      </w:pPr>
      <w:r w:rsidRPr="001B22C4">
        <w:t xml:space="preserve">Data quality and aggregation </w:t>
      </w:r>
      <w:proofErr w:type="gramStart"/>
      <w:r w:rsidRPr="001B22C4">
        <w:t>process;</w:t>
      </w:r>
      <w:proofErr w:type="gramEnd"/>
      <w:r w:rsidRPr="001B22C4">
        <w:t xml:space="preserve"> </w:t>
      </w:r>
    </w:p>
    <w:p w14:paraId="5E7B465A" w14:textId="0F97182B" w:rsidR="001B22C4" w:rsidRPr="00236A56" w:rsidRDefault="00236A56" w:rsidP="00820EE1">
      <w:pPr>
        <w:pStyle w:val="ListParagraph"/>
        <w:numPr>
          <w:ilvl w:val="1"/>
          <w:numId w:val="2"/>
        </w:numPr>
        <w:ind w:left="426"/>
      </w:pPr>
      <w:r w:rsidRPr="00820EE1">
        <w:t xml:space="preserve">An explanation of </w:t>
      </w:r>
      <w:r>
        <w:t xml:space="preserve">relevant </w:t>
      </w:r>
      <w:r w:rsidRPr="00820EE1">
        <w:t>accounting and regulatory treatment</w:t>
      </w:r>
      <w:r>
        <w:t>s</w:t>
      </w:r>
      <w:r w:rsidRPr="00820EE1">
        <w:t>;</w:t>
      </w:r>
      <w:r w:rsidR="001B22C4" w:rsidRPr="00236A56">
        <w:t xml:space="preserve"> and </w:t>
      </w:r>
    </w:p>
    <w:p w14:paraId="09F5F848" w14:textId="55671544" w:rsidR="001B22C4" w:rsidRDefault="001B22C4" w:rsidP="00820EE1">
      <w:pPr>
        <w:pStyle w:val="ListParagraph"/>
        <w:numPr>
          <w:ilvl w:val="1"/>
          <w:numId w:val="2"/>
        </w:numPr>
        <w:ind w:left="426"/>
      </w:pPr>
      <w:r w:rsidRPr="001B22C4">
        <w:t>Further details of AT1, Tier 2, and MREL issuances in foreign currency incl. call dates.</w:t>
      </w:r>
    </w:p>
    <w:p w14:paraId="491442F3" w14:textId="77777777" w:rsidR="002C7656" w:rsidRDefault="002C7656"/>
    <w:p w14:paraId="0E3CCB0A" w14:textId="21E6E266" w:rsidR="004C5FC2" w:rsidRPr="00900668" w:rsidRDefault="00AE0026">
      <w:pPr>
        <w:rPr>
          <w:b/>
          <w:bCs/>
        </w:rPr>
      </w:pPr>
      <w:r w:rsidRPr="009B4D51">
        <w:rPr>
          <w:b/>
          <w:bCs/>
        </w:rPr>
        <w:t>January 2026</w:t>
      </w:r>
    </w:p>
    <w:sectPr w:rsidR="004C5FC2" w:rsidRPr="00900668" w:rsidSect="00AE0026">
      <w:pgSz w:w="16838"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90B1" w14:textId="77777777" w:rsidR="0000116A" w:rsidRDefault="0000116A" w:rsidP="006A617C">
      <w:pPr>
        <w:spacing w:line="240" w:lineRule="auto"/>
      </w:pPr>
      <w:r>
        <w:separator/>
      </w:r>
    </w:p>
  </w:endnote>
  <w:endnote w:type="continuationSeparator" w:id="0">
    <w:p w14:paraId="1EA0BD23" w14:textId="77777777" w:rsidR="0000116A" w:rsidRDefault="0000116A" w:rsidP="006A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506" w14:textId="10E6D23D" w:rsidR="004C5FC2" w:rsidRDefault="004C5FC2" w:rsidP="004C5FC2">
    <w:pPr>
      <w:pStyle w:val="Footer"/>
      <w:jc w:val="right"/>
    </w:pPr>
    <w:r>
      <w:t xml:space="preserve">Page </w:t>
    </w:r>
    <w:r w:rsidRPr="004C5FC2">
      <w:rPr>
        <w:b/>
        <w:bCs/>
      </w:rPr>
      <w:fldChar w:fldCharType="begin"/>
    </w:r>
    <w:r w:rsidRPr="004C5FC2">
      <w:rPr>
        <w:b/>
        <w:bCs/>
      </w:rPr>
      <w:instrText xml:space="preserve"> Page </w:instrText>
    </w:r>
    <w:r w:rsidRPr="004C5FC2">
      <w:rPr>
        <w:b/>
        <w:bCs/>
      </w:rPr>
      <w:fldChar w:fldCharType="separate"/>
    </w:r>
    <w:r w:rsidRPr="004C5FC2">
      <w:rPr>
        <w:b/>
        <w:bCs/>
        <w:noProof/>
      </w:rPr>
      <w:t>1</w:t>
    </w:r>
    <w:r w:rsidRPr="004C5FC2">
      <w:rPr>
        <w:b/>
        <w:bCs/>
      </w:rPr>
      <w:fldChar w:fldCharType="end"/>
    </w:r>
    <w:r>
      <w:t xml:space="preserve"> of </w:t>
    </w:r>
    <w:r w:rsidRPr="004C5FC2">
      <w:rPr>
        <w:b/>
        <w:bCs/>
      </w:rPr>
      <w:fldChar w:fldCharType="begin"/>
    </w:r>
    <w:r w:rsidRPr="004C5FC2">
      <w:rPr>
        <w:b/>
        <w:bCs/>
      </w:rPr>
      <w:instrText xml:space="preserve"> Numpages </w:instrText>
    </w:r>
    <w:r w:rsidRPr="004C5FC2">
      <w:rPr>
        <w:b/>
        <w:bCs/>
      </w:rPr>
      <w:fldChar w:fldCharType="separate"/>
    </w:r>
    <w:r w:rsidRPr="004C5FC2">
      <w:rPr>
        <w:b/>
        <w:bCs/>
        <w:noProof/>
      </w:rPr>
      <w:t>2</w:t>
    </w:r>
    <w:r w:rsidRPr="004C5FC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FF08" w14:textId="77777777" w:rsidR="0000116A" w:rsidRDefault="0000116A" w:rsidP="006A617C">
      <w:pPr>
        <w:spacing w:line="240" w:lineRule="auto"/>
      </w:pPr>
      <w:r>
        <w:separator/>
      </w:r>
    </w:p>
  </w:footnote>
  <w:footnote w:type="continuationSeparator" w:id="0">
    <w:p w14:paraId="725D50C9" w14:textId="77777777" w:rsidR="0000116A" w:rsidRDefault="0000116A" w:rsidP="006A617C">
      <w:pPr>
        <w:spacing w:line="240" w:lineRule="auto"/>
      </w:pPr>
      <w:r>
        <w:continuationSeparator/>
      </w:r>
    </w:p>
  </w:footnote>
  <w:footnote w:id="1">
    <w:p w14:paraId="4386079E" w14:textId="0C0E521B" w:rsidR="001B22C4" w:rsidRDefault="001B22C4">
      <w:pPr>
        <w:pStyle w:val="FootnoteText"/>
      </w:pPr>
      <w:r>
        <w:rPr>
          <w:rStyle w:val="FootnoteReference"/>
        </w:rPr>
        <w:footnoteRef/>
      </w:r>
      <w:r>
        <w:t xml:space="preserve"> We recognise firms manage Structural FX in different ways, so please include and comment on other positions / instruments you are 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4A04" w14:textId="1C203F15" w:rsidR="006A617C" w:rsidRDefault="006A617C">
    <w:pPr>
      <w:pStyle w:val="Header"/>
    </w:pPr>
    <w:r>
      <w:rPr>
        <w:noProof/>
      </w:rPr>
      <w:drawing>
        <wp:anchor distT="0" distB="0" distL="114300" distR="114300" simplePos="0" relativeHeight="251658240" behindDoc="0" locked="0" layoutInCell="1" allowOverlap="1" wp14:anchorId="1C20D189" wp14:editId="478D12F9">
          <wp:simplePos x="0" y="0"/>
          <wp:positionH relativeFrom="margin">
            <wp:align>left</wp:align>
          </wp:positionH>
          <wp:positionV relativeFrom="paragraph">
            <wp:posOffset>46990</wp:posOffset>
          </wp:positionV>
          <wp:extent cx="3187700" cy="321945"/>
          <wp:effectExtent l="0" t="0" r="0" b="1905"/>
          <wp:wrapSquare wrapText="bothSides"/>
          <wp:docPr id="1174095560" name="Picture 117409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87700" cy="321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5B0"/>
    <w:multiLevelType w:val="hybridMultilevel"/>
    <w:tmpl w:val="B5700750"/>
    <w:lvl w:ilvl="0" w:tplc="0809001B">
      <w:start w:val="1"/>
      <w:numFmt w:val="lowerRoman"/>
      <w:lvlText w:val="%1."/>
      <w:lvlJc w:val="right"/>
      <w:pPr>
        <w:ind w:left="720" w:hanging="360"/>
      </w:pPr>
    </w:lvl>
    <w:lvl w:ilvl="1" w:tplc="FFFFFFFF">
      <w:start w:val="1"/>
      <w:numFmt w:val="bullet"/>
      <w:lvlText w:val=""/>
      <w:lvlJc w:val="left"/>
      <w:pPr>
        <w:ind w:left="1440" w:hanging="360"/>
      </w:pPr>
      <w:rPr>
        <w:rFonts w:ascii="Symbol" w:eastAsiaTheme="minorHAnsi" w:hAnsi="Symbol"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AA1FAA"/>
    <w:multiLevelType w:val="hybridMultilevel"/>
    <w:tmpl w:val="C764BF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eastAsiaTheme="minorHAnsi" w:hAnsi="Symbol" w:cstheme="minorBidi" w:hint="default"/>
      </w:r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3E5DA0"/>
    <w:multiLevelType w:val="hybridMultilevel"/>
    <w:tmpl w:val="1C78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921"/>
    <w:multiLevelType w:val="hybridMultilevel"/>
    <w:tmpl w:val="A75A9F02"/>
    <w:lvl w:ilvl="0" w:tplc="96E2E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E7970"/>
    <w:multiLevelType w:val="hybridMultilevel"/>
    <w:tmpl w:val="06F2B11E"/>
    <w:lvl w:ilvl="0" w:tplc="30360C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E4BD2"/>
    <w:multiLevelType w:val="hybridMultilevel"/>
    <w:tmpl w:val="10B671CA"/>
    <w:lvl w:ilvl="0" w:tplc="0809000F">
      <w:start w:val="1"/>
      <w:numFmt w:val="decimal"/>
      <w:lvlText w:val="%1."/>
      <w:lvlJc w:val="left"/>
      <w:pPr>
        <w:ind w:left="720" w:hanging="360"/>
      </w:pPr>
    </w:lvl>
    <w:lvl w:ilvl="1" w:tplc="ACE69912">
      <w:start w:val="1"/>
      <w:numFmt w:val="bullet"/>
      <w:lvlText w:val=""/>
      <w:lvlJc w:val="left"/>
      <w:pPr>
        <w:ind w:left="1440" w:hanging="360"/>
      </w:pPr>
      <w:rPr>
        <w:rFonts w:ascii="Symbol" w:eastAsiaTheme="minorHAnsi" w:hAnsi="Symbol" w:cstheme="minorBid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A64222B"/>
    <w:multiLevelType w:val="hybridMultilevel"/>
    <w:tmpl w:val="03F0519A"/>
    <w:lvl w:ilvl="0" w:tplc="08090001">
      <w:start w:val="1"/>
      <w:numFmt w:val="bullet"/>
      <w:lvlText w:val=""/>
      <w:lvlJc w:val="left"/>
      <w:pPr>
        <w:ind w:left="1080" w:hanging="720"/>
      </w:pPr>
      <w:rPr>
        <w:rFonts w:ascii="Symbol" w:hAnsi="Symbol" w:hint="default"/>
      </w:rPr>
    </w:lvl>
    <w:lvl w:ilvl="1" w:tplc="DBA27AB6">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F75DC7"/>
    <w:multiLevelType w:val="hybridMultilevel"/>
    <w:tmpl w:val="99889112"/>
    <w:lvl w:ilvl="0" w:tplc="AA7E13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0613750">
    <w:abstractNumId w:val="3"/>
  </w:num>
  <w:num w:numId="2" w16cid:durableId="325518573">
    <w:abstractNumId w:val="6"/>
  </w:num>
  <w:num w:numId="3" w16cid:durableId="1791167438">
    <w:abstractNumId w:val="4"/>
  </w:num>
  <w:num w:numId="4" w16cid:durableId="1451625100">
    <w:abstractNumId w:val="7"/>
  </w:num>
  <w:num w:numId="5" w16cid:durableId="369454043">
    <w:abstractNumId w:val="2"/>
  </w:num>
  <w:num w:numId="6" w16cid:durableId="145313348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73377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808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AZ3KxoyRAdfWWK0Hs6hqc5+l3d4egsUoRyJxdvqlwY01lgpGqNbvnOVVxCG8il27TpvqMHV+NYOXRpIodtdBoA==" w:salt="0J1zZ71HsG65CZc0wHwq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7C"/>
    <w:rsid w:val="0000116A"/>
    <w:rsid w:val="00002BD6"/>
    <w:rsid w:val="000101AA"/>
    <w:rsid w:val="00015CC2"/>
    <w:rsid w:val="000265DA"/>
    <w:rsid w:val="00045845"/>
    <w:rsid w:val="000B17BF"/>
    <w:rsid w:val="000B2EE5"/>
    <w:rsid w:val="000E1D0E"/>
    <w:rsid w:val="000E286D"/>
    <w:rsid w:val="000E35C1"/>
    <w:rsid w:val="000E44FB"/>
    <w:rsid w:val="000F073F"/>
    <w:rsid w:val="001022C8"/>
    <w:rsid w:val="00141F52"/>
    <w:rsid w:val="00146B30"/>
    <w:rsid w:val="0015474E"/>
    <w:rsid w:val="0017740D"/>
    <w:rsid w:val="00194F02"/>
    <w:rsid w:val="001B22C4"/>
    <w:rsid w:val="001F00B3"/>
    <w:rsid w:val="001F47FC"/>
    <w:rsid w:val="002030B7"/>
    <w:rsid w:val="00235645"/>
    <w:rsid w:val="00236A56"/>
    <w:rsid w:val="00243F04"/>
    <w:rsid w:val="00254B76"/>
    <w:rsid w:val="00256D9C"/>
    <w:rsid w:val="00265E17"/>
    <w:rsid w:val="0029028A"/>
    <w:rsid w:val="002A5F49"/>
    <w:rsid w:val="002C605E"/>
    <w:rsid w:val="002C7656"/>
    <w:rsid w:val="002E7A22"/>
    <w:rsid w:val="002F3922"/>
    <w:rsid w:val="003105AD"/>
    <w:rsid w:val="00324A26"/>
    <w:rsid w:val="00324CD7"/>
    <w:rsid w:val="003768D3"/>
    <w:rsid w:val="00390AA9"/>
    <w:rsid w:val="003D10FC"/>
    <w:rsid w:val="003E00D9"/>
    <w:rsid w:val="00451545"/>
    <w:rsid w:val="0046145E"/>
    <w:rsid w:val="00470FC2"/>
    <w:rsid w:val="004A4D7F"/>
    <w:rsid w:val="004C5FC2"/>
    <w:rsid w:val="004C6A55"/>
    <w:rsid w:val="004E0F2D"/>
    <w:rsid w:val="004E6BE3"/>
    <w:rsid w:val="004F265F"/>
    <w:rsid w:val="00503D81"/>
    <w:rsid w:val="00503F25"/>
    <w:rsid w:val="005137ED"/>
    <w:rsid w:val="00543199"/>
    <w:rsid w:val="00550855"/>
    <w:rsid w:val="005767C8"/>
    <w:rsid w:val="00591A6D"/>
    <w:rsid w:val="005957CF"/>
    <w:rsid w:val="00596162"/>
    <w:rsid w:val="005F4475"/>
    <w:rsid w:val="005F4E2A"/>
    <w:rsid w:val="0062522D"/>
    <w:rsid w:val="00650B6F"/>
    <w:rsid w:val="00666270"/>
    <w:rsid w:val="00682385"/>
    <w:rsid w:val="006A617C"/>
    <w:rsid w:val="006B3162"/>
    <w:rsid w:val="006B35F8"/>
    <w:rsid w:val="006D0A4C"/>
    <w:rsid w:val="006E1371"/>
    <w:rsid w:val="006E6FBB"/>
    <w:rsid w:val="006F2A4D"/>
    <w:rsid w:val="0070361C"/>
    <w:rsid w:val="0072772C"/>
    <w:rsid w:val="007415A6"/>
    <w:rsid w:val="007723F4"/>
    <w:rsid w:val="00775187"/>
    <w:rsid w:val="00776C4C"/>
    <w:rsid w:val="007858D4"/>
    <w:rsid w:val="007B19B6"/>
    <w:rsid w:val="007B7F94"/>
    <w:rsid w:val="007C0544"/>
    <w:rsid w:val="007C099A"/>
    <w:rsid w:val="007C1720"/>
    <w:rsid w:val="00820EE1"/>
    <w:rsid w:val="0082778A"/>
    <w:rsid w:val="008537D2"/>
    <w:rsid w:val="00867554"/>
    <w:rsid w:val="00894D5A"/>
    <w:rsid w:val="008971F4"/>
    <w:rsid w:val="008B5E55"/>
    <w:rsid w:val="008F6FF4"/>
    <w:rsid w:val="00900668"/>
    <w:rsid w:val="009166DC"/>
    <w:rsid w:val="00923D20"/>
    <w:rsid w:val="00942192"/>
    <w:rsid w:val="00975E01"/>
    <w:rsid w:val="00986A1D"/>
    <w:rsid w:val="009A2342"/>
    <w:rsid w:val="009B4D51"/>
    <w:rsid w:val="009D45B5"/>
    <w:rsid w:val="009F1AA6"/>
    <w:rsid w:val="00A100FA"/>
    <w:rsid w:val="00A44D4A"/>
    <w:rsid w:val="00A504C6"/>
    <w:rsid w:val="00A70FEA"/>
    <w:rsid w:val="00A819E9"/>
    <w:rsid w:val="00A81D01"/>
    <w:rsid w:val="00A9280D"/>
    <w:rsid w:val="00AA2A08"/>
    <w:rsid w:val="00AB1DA4"/>
    <w:rsid w:val="00AE0026"/>
    <w:rsid w:val="00B10F96"/>
    <w:rsid w:val="00B11137"/>
    <w:rsid w:val="00B25AE0"/>
    <w:rsid w:val="00B6480D"/>
    <w:rsid w:val="00BC329A"/>
    <w:rsid w:val="00BE21D2"/>
    <w:rsid w:val="00C2577C"/>
    <w:rsid w:val="00C44CFC"/>
    <w:rsid w:val="00C5381D"/>
    <w:rsid w:val="00C60359"/>
    <w:rsid w:val="00C6133D"/>
    <w:rsid w:val="00C66447"/>
    <w:rsid w:val="00C73698"/>
    <w:rsid w:val="00C95AA7"/>
    <w:rsid w:val="00CA56FA"/>
    <w:rsid w:val="00CA743C"/>
    <w:rsid w:val="00CB41E2"/>
    <w:rsid w:val="00CF1CCB"/>
    <w:rsid w:val="00CF60FE"/>
    <w:rsid w:val="00D4115D"/>
    <w:rsid w:val="00D50C9C"/>
    <w:rsid w:val="00D84876"/>
    <w:rsid w:val="00DB043E"/>
    <w:rsid w:val="00DD665B"/>
    <w:rsid w:val="00DE564D"/>
    <w:rsid w:val="00DE67E5"/>
    <w:rsid w:val="00E62403"/>
    <w:rsid w:val="00E762F0"/>
    <w:rsid w:val="00E83FEF"/>
    <w:rsid w:val="00E904B9"/>
    <w:rsid w:val="00E97520"/>
    <w:rsid w:val="00ED56F4"/>
    <w:rsid w:val="00EF496B"/>
    <w:rsid w:val="00F020A0"/>
    <w:rsid w:val="00F1767D"/>
    <w:rsid w:val="00F458EF"/>
    <w:rsid w:val="00F86F30"/>
    <w:rsid w:val="00FA52BF"/>
    <w:rsid w:val="00FC19EF"/>
    <w:rsid w:val="00FD0D9F"/>
    <w:rsid w:val="00FD7959"/>
    <w:rsid w:val="0FFF1DF5"/>
    <w:rsid w:val="13F94D6E"/>
    <w:rsid w:val="1C8DD626"/>
    <w:rsid w:val="1FE8DC99"/>
    <w:rsid w:val="29D75F8B"/>
    <w:rsid w:val="2C12244F"/>
    <w:rsid w:val="3AF20C17"/>
    <w:rsid w:val="55C4CC3C"/>
    <w:rsid w:val="5CDA37F0"/>
    <w:rsid w:val="67627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9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1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61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Web Heading 3"/>
    <w:basedOn w:val="Normal"/>
    <w:next w:val="Normal"/>
    <w:link w:val="Heading3Char"/>
    <w:uiPriority w:val="4"/>
    <w:unhideWhenUsed/>
    <w:qFormat/>
    <w:rsid w:val="006A617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aliases w:val="Web Heading 4"/>
    <w:basedOn w:val="Normal"/>
    <w:next w:val="Normal"/>
    <w:link w:val="Heading4Char"/>
    <w:uiPriority w:val="5"/>
    <w:unhideWhenUsed/>
    <w:qFormat/>
    <w:rsid w:val="006A617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A617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A61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61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61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61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617C"/>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Web Heading 3 Char"/>
    <w:basedOn w:val="DefaultParagraphFont"/>
    <w:link w:val="Heading3"/>
    <w:uiPriority w:val="4"/>
    <w:rsid w:val="006A617C"/>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Web Heading 4 Char"/>
    <w:basedOn w:val="DefaultParagraphFont"/>
    <w:link w:val="Heading4"/>
    <w:uiPriority w:val="5"/>
    <w:rsid w:val="006A617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A617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A6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6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6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61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6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61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617C"/>
    <w:rPr>
      <w:i/>
      <w:iCs/>
      <w:color w:val="404040" w:themeColor="text1" w:themeTint="BF"/>
    </w:rPr>
  </w:style>
  <w:style w:type="paragraph" w:styleId="ListParagraph">
    <w:name w:val="List Paragraph"/>
    <w:basedOn w:val="Normal"/>
    <w:uiPriority w:val="34"/>
    <w:qFormat/>
    <w:rsid w:val="006A617C"/>
    <w:pPr>
      <w:ind w:left="720"/>
      <w:contextualSpacing/>
    </w:pPr>
  </w:style>
  <w:style w:type="character" w:styleId="IntenseEmphasis">
    <w:name w:val="Intense Emphasis"/>
    <w:basedOn w:val="DefaultParagraphFont"/>
    <w:uiPriority w:val="21"/>
    <w:qFormat/>
    <w:rsid w:val="006A617C"/>
    <w:rPr>
      <w:i/>
      <w:iCs/>
      <w:color w:val="365F91" w:themeColor="accent1" w:themeShade="BF"/>
    </w:rPr>
  </w:style>
  <w:style w:type="paragraph" w:styleId="IntenseQuote">
    <w:name w:val="Intense Quote"/>
    <w:basedOn w:val="Normal"/>
    <w:next w:val="Normal"/>
    <w:link w:val="IntenseQuoteChar"/>
    <w:uiPriority w:val="30"/>
    <w:qFormat/>
    <w:rsid w:val="006A61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617C"/>
    <w:rPr>
      <w:i/>
      <w:iCs/>
      <w:color w:val="365F91" w:themeColor="accent1" w:themeShade="BF"/>
    </w:rPr>
  </w:style>
  <w:style w:type="character" w:styleId="IntenseReference">
    <w:name w:val="Intense Reference"/>
    <w:basedOn w:val="DefaultParagraphFont"/>
    <w:uiPriority w:val="32"/>
    <w:qFormat/>
    <w:rsid w:val="006A617C"/>
    <w:rPr>
      <w:b/>
      <w:bCs/>
      <w:smallCaps/>
      <w:color w:val="365F91" w:themeColor="accent1" w:themeShade="BF"/>
      <w:spacing w:val="5"/>
    </w:rPr>
  </w:style>
  <w:style w:type="paragraph" w:styleId="Header">
    <w:name w:val="header"/>
    <w:basedOn w:val="Normal"/>
    <w:link w:val="HeaderChar"/>
    <w:uiPriority w:val="99"/>
    <w:unhideWhenUsed/>
    <w:rsid w:val="006A617C"/>
    <w:pPr>
      <w:tabs>
        <w:tab w:val="center" w:pos="4513"/>
        <w:tab w:val="right" w:pos="9026"/>
      </w:tabs>
      <w:spacing w:line="240" w:lineRule="auto"/>
    </w:pPr>
  </w:style>
  <w:style w:type="character" w:customStyle="1" w:styleId="HeaderChar">
    <w:name w:val="Header Char"/>
    <w:basedOn w:val="DefaultParagraphFont"/>
    <w:link w:val="Header"/>
    <w:uiPriority w:val="99"/>
    <w:rsid w:val="006A617C"/>
  </w:style>
  <w:style w:type="paragraph" w:styleId="Footer">
    <w:name w:val="footer"/>
    <w:basedOn w:val="Normal"/>
    <w:link w:val="FooterChar"/>
    <w:uiPriority w:val="99"/>
    <w:unhideWhenUsed/>
    <w:rsid w:val="006A617C"/>
    <w:pPr>
      <w:tabs>
        <w:tab w:val="center" w:pos="4513"/>
        <w:tab w:val="right" w:pos="9026"/>
      </w:tabs>
      <w:spacing w:line="240" w:lineRule="auto"/>
    </w:pPr>
  </w:style>
  <w:style w:type="character" w:customStyle="1" w:styleId="FooterChar">
    <w:name w:val="Footer Char"/>
    <w:basedOn w:val="DefaultParagraphFont"/>
    <w:link w:val="Footer"/>
    <w:uiPriority w:val="99"/>
    <w:rsid w:val="006A617C"/>
  </w:style>
  <w:style w:type="table" w:styleId="TableGrid">
    <w:name w:val="Table Grid"/>
    <w:basedOn w:val="TableNormal"/>
    <w:uiPriority w:val="59"/>
    <w:rsid w:val="00DE67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2F0"/>
    <w:pPr>
      <w:spacing w:line="240" w:lineRule="auto"/>
    </w:pPr>
  </w:style>
  <w:style w:type="paragraph" w:styleId="FootnoteText">
    <w:name w:val="footnote text"/>
    <w:basedOn w:val="Normal"/>
    <w:link w:val="FootnoteTextChar"/>
    <w:uiPriority w:val="99"/>
    <w:semiHidden/>
    <w:unhideWhenUsed/>
    <w:rsid w:val="001B22C4"/>
    <w:pPr>
      <w:spacing w:line="240" w:lineRule="auto"/>
    </w:pPr>
    <w:rPr>
      <w:sz w:val="20"/>
      <w:szCs w:val="20"/>
    </w:rPr>
  </w:style>
  <w:style w:type="character" w:customStyle="1" w:styleId="FootnoteTextChar">
    <w:name w:val="Footnote Text Char"/>
    <w:basedOn w:val="DefaultParagraphFont"/>
    <w:link w:val="FootnoteText"/>
    <w:uiPriority w:val="99"/>
    <w:semiHidden/>
    <w:rsid w:val="001B22C4"/>
    <w:rPr>
      <w:sz w:val="20"/>
      <w:szCs w:val="20"/>
    </w:rPr>
  </w:style>
  <w:style w:type="character" w:styleId="FootnoteReference">
    <w:name w:val="footnote reference"/>
    <w:basedOn w:val="DefaultParagraphFont"/>
    <w:uiPriority w:val="99"/>
    <w:semiHidden/>
    <w:unhideWhenUsed/>
    <w:rsid w:val="001B22C4"/>
    <w:rPr>
      <w:vertAlign w:val="superscript"/>
    </w:rPr>
  </w:style>
  <w:style w:type="character" w:styleId="CommentReference">
    <w:name w:val="annotation reference"/>
    <w:basedOn w:val="DefaultParagraphFont"/>
    <w:uiPriority w:val="99"/>
    <w:semiHidden/>
    <w:unhideWhenUsed/>
    <w:rsid w:val="00923D20"/>
    <w:rPr>
      <w:sz w:val="16"/>
      <w:szCs w:val="16"/>
    </w:rPr>
  </w:style>
  <w:style w:type="paragraph" w:styleId="CommentText">
    <w:name w:val="annotation text"/>
    <w:basedOn w:val="Normal"/>
    <w:link w:val="CommentTextChar"/>
    <w:uiPriority w:val="99"/>
    <w:unhideWhenUsed/>
    <w:rsid w:val="00923D20"/>
    <w:pPr>
      <w:spacing w:line="240" w:lineRule="auto"/>
    </w:pPr>
    <w:rPr>
      <w:sz w:val="20"/>
      <w:szCs w:val="20"/>
    </w:rPr>
  </w:style>
  <w:style w:type="character" w:customStyle="1" w:styleId="CommentTextChar">
    <w:name w:val="Comment Text Char"/>
    <w:basedOn w:val="DefaultParagraphFont"/>
    <w:link w:val="CommentText"/>
    <w:uiPriority w:val="99"/>
    <w:rsid w:val="00923D20"/>
    <w:rPr>
      <w:sz w:val="20"/>
      <w:szCs w:val="20"/>
    </w:rPr>
  </w:style>
  <w:style w:type="paragraph" w:styleId="CommentSubject">
    <w:name w:val="annotation subject"/>
    <w:basedOn w:val="CommentText"/>
    <w:next w:val="CommentText"/>
    <w:link w:val="CommentSubjectChar"/>
    <w:uiPriority w:val="99"/>
    <w:semiHidden/>
    <w:unhideWhenUsed/>
    <w:rsid w:val="00923D20"/>
    <w:rPr>
      <w:b/>
      <w:bCs/>
    </w:rPr>
  </w:style>
  <w:style w:type="character" w:customStyle="1" w:styleId="CommentSubjectChar">
    <w:name w:val="Comment Subject Char"/>
    <w:basedOn w:val="CommentTextChar"/>
    <w:link w:val="CommentSubject"/>
    <w:uiPriority w:val="99"/>
    <w:semiHidden/>
    <w:rsid w:val="00923D20"/>
    <w:rPr>
      <w:b/>
      <w:bCs/>
      <w:sz w:val="20"/>
      <w:szCs w:val="20"/>
    </w:rPr>
  </w:style>
  <w:style w:type="character" w:styleId="PlaceholderText">
    <w:name w:val="Placeholder Text"/>
    <w:basedOn w:val="DefaultParagraphFont"/>
    <w:uiPriority w:val="99"/>
    <w:semiHidden/>
    <w:rsid w:val="007B7F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FEED8E-6506-4783-8510-E0E86FE29DCD}"/>
      </w:docPartPr>
      <w:docPartBody>
        <w:p w:rsidR="00B72B25" w:rsidRDefault="00B72B25">
          <w:r w:rsidRPr="000851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5"/>
    <w:rsid w:val="002F3922"/>
    <w:rsid w:val="005B7884"/>
    <w:rsid w:val="00775187"/>
    <w:rsid w:val="00B7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B2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EC7A-0A40-4E5A-88DD-DAC80BC8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8173</Characters>
  <Application>Microsoft Office Word</Application>
  <DocSecurity>0</DocSecurity>
  <Lines>454</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2026-01-13T09:41:00Z</dcterms:created>
  <dcterms:modified xsi:type="dcterms:W3CDTF">2026-02-09T08:36:00Z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2026-01-13T09:54:37Z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b9238c38-658e-462d-a637-8b92478f216d</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ies>
</file>