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18" w:rsidRPr="00817021" w:rsidRDefault="003D2EF6" w:rsidP="00C81018">
      <w:pPr>
        <w:spacing w:after="240" w:line="288" w:lineRule="atLeast"/>
        <w:jc w:val="center"/>
        <w:outlineLvl w:val="2"/>
        <w:rPr>
          <w:rFonts w:eastAsia="Times New Roman" w:cs="Arial"/>
          <w:b/>
          <w:bCs/>
          <w:sz w:val="22"/>
        </w:rPr>
      </w:pPr>
      <w:r w:rsidRPr="00817021">
        <w:rPr>
          <w:rFonts w:eastAsia="Times New Roman" w:cs="Arial"/>
          <w:b/>
          <w:bCs/>
          <w:sz w:val="22"/>
          <w:u w:val="single"/>
        </w:rPr>
        <w:t>Chapter 10</w:t>
      </w:r>
    </w:p>
    <w:p w:rsidR="00C81018" w:rsidRPr="00232F77" w:rsidRDefault="00C81018" w:rsidP="00C81018">
      <w:pPr>
        <w:spacing w:after="240" w:line="288" w:lineRule="atLeast"/>
        <w:jc w:val="center"/>
        <w:outlineLvl w:val="2"/>
        <w:rPr>
          <w:rFonts w:eastAsia="Times New Roman" w:cs="Arial"/>
          <w:b/>
          <w:bCs/>
          <w:sz w:val="22"/>
          <w:u w:val="single"/>
        </w:rPr>
      </w:pPr>
      <w:r w:rsidRPr="00817021">
        <w:rPr>
          <w:rFonts w:eastAsia="Times New Roman" w:cs="Arial"/>
          <w:b/>
          <w:bCs/>
          <w:sz w:val="22"/>
          <w:u w:val="single"/>
        </w:rPr>
        <w:t>Instructions regarding reporting templates for individual undertakings</w:t>
      </w:r>
    </w:p>
    <w:p w:rsidR="00CF33D7" w:rsidRPr="002052B2" w:rsidRDefault="00CF33D7" w:rsidP="00CF33D7">
      <w:pPr>
        <w:pStyle w:val="Default"/>
        <w:rPr>
          <w:rFonts w:ascii="Arial" w:hAnsi="Arial" w:cs="Arial"/>
          <w:sz w:val="22"/>
          <w:szCs w:val="22"/>
          <w:u w:val="single"/>
        </w:rPr>
      </w:pPr>
      <w:r w:rsidRPr="002052B2">
        <w:rPr>
          <w:rFonts w:ascii="Arial" w:hAnsi="Arial" w:cs="Arial"/>
          <w:b/>
          <w:bCs/>
          <w:sz w:val="22"/>
          <w:szCs w:val="22"/>
          <w:u w:val="single"/>
        </w:rPr>
        <w:t>S.14.02 — Non-Life obligation analysis</w:t>
      </w:r>
    </w:p>
    <w:p w:rsidR="00CF33D7" w:rsidRPr="002052B2" w:rsidRDefault="00CF33D7" w:rsidP="00CF33D7">
      <w:pPr>
        <w:pStyle w:val="Default"/>
        <w:rPr>
          <w:rFonts w:ascii="Arial" w:hAnsi="Arial" w:cs="Arial"/>
          <w:sz w:val="22"/>
          <w:szCs w:val="22"/>
          <w:u w:val="single"/>
        </w:rPr>
      </w:pPr>
    </w:p>
    <w:p w:rsidR="00CF33D7" w:rsidRPr="002052B2" w:rsidRDefault="00CF33D7" w:rsidP="00CF33D7">
      <w:pPr>
        <w:spacing w:line="276" w:lineRule="auto"/>
        <w:rPr>
          <w:rFonts w:cs="Arial"/>
          <w:sz w:val="22"/>
          <w:u w:val="single"/>
        </w:rPr>
      </w:pPr>
      <w:r w:rsidRPr="002052B2">
        <w:rPr>
          <w:rFonts w:cs="Arial"/>
          <w:iCs/>
          <w:sz w:val="22"/>
          <w:u w:val="single"/>
        </w:rPr>
        <w:t>General comments:</w:t>
      </w:r>
    </w:p>
    <w:p w:rsidR="00CF33D7" w:rsidRPr="002052B2" w:rsidRDefault="00CF33D7" w:rsidP="00CF33D7">
      <w:pPr>
        <w:pStyle w:val="BodyText"/>
        <w:jc w:val="both"/>
        <w:rPr>
          <w:rFonts w:ascii="Arial" w:hAnsi="Arial" w:cs="Arial"/>
          <w:u w:val="single"/>
        </w:rPr>
      </w:pPr>
      <w:r w:rsidRPr="002052B2">
        <w:rPr>
          <w:rFonts w:ascii="Arial" w:hAnsi="Arial" w:cs="Arial"/>
          <w:u w:val="single"/>
        </w:rPr>
        <w:t>This section relates to annual submission of information for individual entities.</w:t>
      </w:r>
    </w:p>
    <w:p w:rsidR="00CF33D7" w:rsidRPr="002052B2" w:rsidRDefault="00CF33D7" w:rsidP="00CF33D7">
      <w:pPr>
        <w:pStyle w:val="BodyText"/>
        <w:jc w:val="both"/>
        <w:rPr>
          <w:rFonts w:ascii="Arial" w:hAnsi="Arial" w:cs="Arial"/>
          <w:u w:val="single"/>
        </w:rPr>
      </w:pPr>
      <w:r w:rsidRPr="002052B2">
        <w:rPr>
          <w:rFonts w:ascii="Arial" w:hAnsi="Arial" w:cs="Arial"/>
          <w:u w:val="single"/>
        </w:rPr>
        <w:t>This template includes information about non-life insurance contracts only to direct business. No information has to be provided for accepted reinsurance business.</w:t>
      </w:r>
    </w:p>
    <w:p w:rsidR="00CF33D7" w:rsidRPr="002052B2" w:rsidRDefault="00CF33D7" w:rsidP="00CF33D7">
      <w:pPr>
        <w:pStyle w:val="BodyText"/>
        <w:jc w:val="both"/>
        <w:rPr>
          <w:rFonts w:ascii="Arial" w:hAnsi="Arial" w:cs="Arial"/>
          <w:u w:val="single"/>
        </w:rPr>
      </w:pPr>
      <w:r w:rsidRPr="002052B2">
        <w:rPr>
          <w:rFonts w:ascii="Arial" w:hAnsi="Arial" w:cs="Arial"/>
          <w:u w:val="single"/>
        </w:rPr>
        <w:t xml:space="preserve">Columns C0010 to </w:t>
      </w:r>
      <w:r w:rsidR="00071C39" w:rsidRPr="002052B2">
        <w:rPr>
          <w:rFonts w:ascii="Arial" w:hAnsi="Arial" w:cs="Arial"/>
          <w:u w:val="single"/>
        </w:rPr>
        <w:t xml:space="preserve">C0190 </w:t>
      </w:r>
      <w:r w:rsidRPr="002052B2">
        <w:rPr>
          <w:rFonts w:ascii="Arial" w:hAnsi="Arial" w:cs="Arial"/>
          <w:u w:val="single"/>
        </w:rPr>
        <w:t>shall be reported by line of business</w:t>
      </w:r>
      <w:r w:rsidR="002F4E66" w:rsidRPr="002052B2">
        <w:rPr>
          <w:rFonts w:ascii="Arial" w:hAnsi="Arial" w:cs="Arial"/>
          <w:u w:val="single"/>
        </w:rPr>
        <w:t>.</w:t>
      </w:r>
      <w:r w:rsidRPr="002052B2">
        <w:rPr>
          <w:rFonts w:ascii="Arial" w:hAnsi="Arial" w:cs="Arial"/>
          <w:u w:val="single"/>
        </w:rPr>
        <w:t xml:space="preserve"> </w:t>
      </w:r>
      <w:r w:rsidR="002F4E66" w:rsidRPr="002052B2">
        <w:rPr>
          <w:rFonts w:ascii="Arial" w:hAnsi="Arial" w:cs="Arial"/>
          <w:u w:val="single"/>
        </w:rPr>
        <w:t>W</w:t>
      </w:r>
      <w:r w:rsidRPr="002052B2">
        <w:rPr>
          <w:rFonts w:ascii="Arial" w:hAnsi="Arial" w:cs="Arial"/>
          <w:u w:val="single"/>
        </w:rPr>
        <w:t xml:space="preserve">here further breakdown by product categories is envisaged as defined in </w:t>
      </w:r>
      <w:r w:rsidR="00225605" w:rsidRPr="002052B2">
        <w:rPr>
          <w:rFonts w:ascii="Arial" w:hAnsi="Arial" w:cs="Arial"/>
          <w:u w:val="single"/>
        </w:rPr>
        <w:t xml:space="preserve">column </w:t>
      </w:r>
      <w:r w:rsidRPr="002052B2">
        <w:rPr>
          <w:rFonts w:ascii="Arial" w:hAnsi="Arial" w:cs="Arial"/>
          <w:u w:val="single"/>
        </w:rPr>
        <w:t>C0020</w:t>
      </w:r>
      <w:r w:rsidR="002F4E66" w:rsidRPr="002052B2">
        <w:rPr>
          <w:rFonts w:ascii="Arial" w:hAnsi="Arial" w:cs="Arial"/>
          <w:u w:val="single"/>
        </w:rPr>
        <w:t>, columns C0010 to C00190 shall be reported by product category in addition to by line of business</w:t>
      </w:r>
      <w:r w:rsidRPr="002052B2">
        <w:rPr>
          <w:rFonts w:ascii="Arial" w:hAnsi="Arial" w:cs="Arial"/>
          <w:u w:val="single"/>
        </w:rPr>
        <w:t xml:space="preserve">. </w:t>
      </w:r>
    </w:p>
    <w:p w:rsidR="002F4E66" w:rsidRPr="002052B2" w:rsidRDefault="002F4E66" w:rsidP="00CF33D7">
      <w:pPr>
        <w:pStyle w:val="BodyText"/>
        <w:jc w:val="both"/>
        <w:rPr>
          <w:rFonts w:ascii="Arial" w:hAnsi="Arial" w:cs="Arial"/>
          <w:u w:val="single"/>
        </w:rPr>
      </w:pPr>
      <w:r w:rsidRPr="002052B2">
        <w:rPr>
          <w:rFonts w:ascii="Arial" w:hAnsi="Arial" w:cs="Arial"/>
          <w:u w:val="single"/>
        </w:rPr>
        <w:t xml:space="preserve">For example, if the firm carries on business in product category 7.1 (as defined in </w:t>
      </w:r>
      <w:r w:rsidR="00225605" w:rsidRPr="002052B2">
        <w:rPr>
          <w:rFonts w:ascii="Arial" w:hAnsi="Arial" w:cs="Arial"/>
          <w:u w:val="single"/>
        </w:rPr>
        <w:t xml:space="preserve">column </w:t>
      </w:r>
      <w:r w:rsidRPr="002052B2">
        <w:rPr>
          <w:rFonts w:ascii="Arial" w:hAnsi="Arial" w:cs="Arial"/>
          <w:u w:val="single"/>
        </w:rPr>
        <w:t>C0020</w:t>
      </w:r>
      <w:r w:rsidR="00225605" w:rsidRPr="002052B2">
        <w:rPr>
          <w:rFonts w:ascii="Arial" w:hAnsi="Arial" w:cs="Arial"/>
          <w:u w:val="single"/>
        </w:rPr>
        <w:t>), columns C0010 to C0190 are to be reported for the line of business 7, and also (in a separate row) for the product category 7.1</w:t>
      </w:r>
    </w:p>
    <w:p w:rsidR="00225B21" w:rsidRPr="002052B2" w:rsidRDefault="00225B21" w:rsidP="00225B21">
      <w:pPr>
        <w:spacing w:line="276" w:lineRule="auto"/>
        <w:rPr>
          <w:rFonts w:cs="Arial"/>
          <w:sz w:val="22"/>
          <w:u w:val="single"/>
        </w:rPr>
      </w:pPr>
      <w:r w:rsidRPr="002052B2">
        <w:rPr>
          <w:rFonts w:cs="Arial"/>
          <w:sz w:val="22"/>
          <w:u w:val="single"/>
        </w:rPr>
        <w:t xml:space="preserve">For the purpose of this template: </w:t>
      </w:r>
    </w:p>
    <w:p w:rsidR="00225B21" w:rsidRPr="002052B2" w:rsidRDefault="00225B21" w:rsidP="00225B21">
      <w:pPr>
        <w:pStyle w:val="ListParagraph"/>
        <w:numPr>
          <w:ilvl w:val="0"/>
          <w:numId w:val="5"/>
        </w:numPr>
        <w:spacing w:line="276" w:lineRule="auto"/>
        <w:jc w:val="both"/>
        <w:rPr>
          <w:rFonts w:cs="Arial"/>
          <w:sz w:val="22"/>
          <w:u w:val="single"/>
        </w:rPr>
      </w:pPr>
      <w:r w:rsidRPr="002052B2">
        <w:rPr>
          <w:rFonts w:cs="Arial"/>
          <w:sz w:val="22"/>
          <w:u w:val="single"/>
        </w:rPr>
        <w:t>‘Allocated loss adjustment expenses (ALAE)’ means: the costs of processing and resolving claims that could be assignable to individual claim (e.g. legal and adjuster’s fees).</w:t>
      </w:r>
    </w:p>
    <w:p w:rsidR="00225B21" w:rsidRPr="002052B2" w:rsidRDefault="00225B21" w:rsidP="00225B21">
      <w:pPr>
        <w:pStyle w:val="ListParagraph"/>
        <w:numPr>
          <w:ilvl w:val="0"/>
          <w:numId w:val="5"/>
        </w:numPr>
        <w:spacing w:line="276" w:lineRule="auto"/>
        <w:jc w:val="both"/>
        <w:rPr>
          <w:rFonts w:cs="Arial"/>
          <w:sz w:val="22"/>
          <w:u w:val="single"/>
        </w:rPr>
      </w:pPr>
      <w:r w:rsidRPr="002052B2">
        <w:rPr>
          <w:rFonts w:cs="Arial"/>
          <w:color w:val="000000"/>
          <w:sz w:val="22"/>
          <w:u w:val="single"/>
        </w:rPr>
        <w:t>‘Reporting period’ means: the period between the reporting reference date applicable to when the template was last reported and the current reporting reference date.</w:t>
      </w:r>
    </w:p>
    <w:p w:rsidR="00CF33D7" w:rsidRPr="002052B2" w:rsidRDefault="00CF33D7" w:rsidP="00CF33D7">
      <w:pPr>
        <w:pStyle w:val="BodyText"/>
        <w:jc w:val="both"/>
        <w:rPr>
          <w:rFonts w:ascii="Arial" w:hAnsi="Arial" w:cs="Arial"/>
          <w:u w:val="single"/>
        </w:rPr>
      </w:pPr>
    </w:p>
    <w:tbl>
      <w:tblPr>
        <w:tblW w:w="9286" w:type="dxa"/>
        <w:tblLayout w:type="fixed"/>
        <w:tblLook w:val="0000" w:firstRow="0" w:lastRow="0" w:firstColumn="0" w:lastColumn="0" w:noHBand="0" w:noVBand="0"/>
      </w:tblPr>
      <w:tblGrid>
        <w:gridCol w:w="1809"/>
        <w:gridCol w:w="2091"/>
        <w:gridCol w:w="5386"/>
      </w:tblGrid>
      <w:tr w:rsidR="00CF33D7" w:rsidRPr="002052B2" w:rsidTr="00373C4D">
        <w:trPr>
          <w:tblHeader/>
        </w:trPr>
        <w:tc>
          <w:tcPr>
            <w:tcW w:w="1809"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adjustRightInd w:val="0"/>
              <w:rPr>
                <w:rFonts w:cs="Arial"/>
                <w:sz w:val="22"/>
                <w:u w:val="single"/>
              </w:rPr>
            </w:pPr>
          </w:p>
        </w:tc>
        <w:tc>
          <w:tcPr>
            <w:tcW w:w="2091"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pStyle w:val="NormalCentered"/>
              <w:rPr>
                <w:rFonts w:ascii="Arial" w:hAnsi="Arial" w:cs="Arial"/>
                <w:sz w:val="22"/>
                <w:szCs w:val="22"/>
                <w:u w:val="single"/>
                <w:lang w:val="en-GB"/>
              </w:rPr>
            </w:pPr>
            <w:r w:rsidRPr="002052B2">
              <w:rPr>
                <w:rFonts w:ascii="Arial" w:hAnsi="Arial" w:cs="Arial"/>
                <w:sz w:val="22"/>
                <w:szCs w:val="22"/>
                <w:u w:val="single"/>
                <w:lang w:val="en-GB"/>
              </w:rPr>
              <w:t>ITEM</w:t>
            </w:r>
          </w:p>
        </w:tc>
        <w:tc>
          <w:tcPr>
            <w:tcW w:w="5386"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pStyle w:val="NormalCentered"/>
              <w:rPr>
                <w:rFonts w:ascii="Arial" w:hAnsi="Arial" w:cs="Arial"/>
                <w:sz w:val="22"/>
                <w:szCs w:val="22"/>
                <w:u w:val="single"/>
                <w:lang w:val="en-GB"/>
              </w:rPr>
            </w:pPr>
            <w:r w:rsidRPr="002052B2">
              <w:rPr>
                <w:rFonts w:ascii="Arial" w:hAnsi="Arial" w:cs="Arial"/>
                <w:sz w:val="22"/>
                <w:szCs w:val="22"/>
                <w:u w:val="single"/>
                <w:lang w:val="en-GB"/>
              </w:rPr>
              <w:t>INSTRUCTIONS</w:t>
            </w:r>
          </w:p>
        </w:tc>
      </w:tr>
      <w:tr w:rsidR="00CF33D7" w:rsidRPr="002052B2" w:rsidTr="00373C4D">
        <w:tc>
          <w:tcPr>
            <w:tcW w:w="1809"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pStyle w:val="NormalCentered"/>
              <w:rPr>
                <w:rFonts w:ascii="Arial" w:hAnsi="Arial" w:cs="Arial"/>
                <w:sz w:val="22"/>
                <w:szCs w:val="22"/>
                <w:u w:val="single"/>
                <w:lang w:val="en-GB"/>
              </w:rPr>
            </w:pPr>
            <w:r w:rsidRPr="002052B2">
              <w:rPr>
                <w:rFonts w:ascii="Arial" w:hAnsi="Arial" w:cs="Arial"/>
                <w:iCs/>
                <w:sz w:val="22"/>
                <w:szCs w:val="22"/>
                <w:u w:val="single"/>
                <w:lang w:val="en-GB"/>
              </w:rPr>
              <w:t>Portfolio</w:t>
            </w:r>
          </w:p>
        </w:tc>
        <w:tc>
          <w:tcPr>
            <w:tcW w:w="2091"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pStyle w:val="NormalCentered"/>
              <w:rPr>
                <w:rFonts w:ascii="Arial" w:hAnsi="Arial" w:cs="Arial"/>
                <w:sz w:val="22"/>
                <w:szCs w:val="22"/>
                <w:u w:val="single"/>
                <w:lang w:val="en-GB"/>
              </w:rPr>
            </w:pPr>
          </w:p>
        </w:tc>
        <w:tc>
          <w:tcPr>
            <w:tcW w:w="5386" w:type="dxa"/>
            <w:tcBorders>
              <w:top w:val="single" w:sz="2" w:space="0" w:color="auto"/>
              <w:left w:val="single" w:sz="2" w:space="0" w:color="auto"/>
              <w:bottom w:val="single" w:sz="2" w:space="0" w:color="auto"/>
              <w:right w:val="single" w:sz="2" w:space="0" w:color="auto"/>
            </w:tcBorders>
          </w:tcPr>
          <w:p w:rsidR="00CF33D7" w:rsidRPr="002052B2" w:rsidRDefault="00CF33D7" w:rsidP="00373C4D">
            <w:pPr>
              <w:pStyle w:val="NormalCentered"/>
              <w:rPr>
                <w:rFonts w:ascii="Arial" w:hAnsi="Arial" w:cs="Arial"/>
                <w:sz w:val="22"/>
                <w:szCs w:val="22"/>
                <w:u w:val="single"/>
                <w:lang w:val="en-GB"/>
              </w:rPr>
            </w:pPr>
          </w:p>
        </w:tc>
      </w:tr>
    </w:tbl>
    <w:tbl>
      <w:tblPr>
        <w:tblStyle w:val="TableGrid"/>
        <w:tblW w:w="9322" w:type="dxa"/>
        <w:tblLook w:val="04A0" w:firstRow="1" w:lastRow="0" w:firstColumn="1" w:lastColumn="0" w:noHBand="0" w:noVBand="1"/>
      </w:tblPr>
      <w:tblGrid>
        <w:gridCol w:w="1809"/>
        <w:gridCol w:w="2084"/>
        <w:gridCol w:w="5429"/>
      </w:tblGrid>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C0010</w:t>
            </w:r>
          </w:p>
        </w:tc>
        <w:tc>
          <w:tcPr>
            <w:tcW w:w="2084" w:type="dxa"/>
          </w:tcPr>
          <w:p w:rsidR="00CF33D7" w:rsidRPr="002052B2" w:rsidRDefault="00CF33D7" w:rsidP="00373C4D">
            <w:pPr>
              <w:spacing w:line="276" w:lineRule="auto"/>
              <w:rPr>
                <w:rFonts w:cs="Arial"/>
                <w:sz w:val="22"/>
                <w:u w:val="single"/>
              </w:rPr>
            </w:pPr>
            <w:r w:rsidRPr="002052B2">
              <w:rPr>
                <w:rFonts w:cs="Arial"/>
                <w:sz w:val="22"/>
                <w:u w:val="single"/>
              </w:rPr>
              <w:t>Line of Business</w:t>
            </w:r>
          </w:p>
        </w:tc>
        <w:tc>
          <w:tcPr>
            <w:tcW w:w="5429" w:type="dxa"/>
          </w:tcPr>
          <w:p w:rsidR="00CF33D7" w:rsidRPr="002052B2" w:rsidRDefault="00CF33D7" w:rsidP="00373C4D">
            <w:pPr>
              <w:spacing w:line="276" w:lineRule="auto"/>
              <w:rPr>
                <w:rFonts w:cs="Arial"/>
                <w:sz w:val="22"/>
                <w:u w:val="single"/>
              </w:rPr>
            </w:pPr>
            <w:r w:rsidRPr="002052B2">
              <w:rPr>
                <w:rFonts w:cs="Arial"/>
                <w:sz w:val="22"/>
                <w:u w:val="single"/>
              </w:rPr>
              <w:t>Line of business as defined in Annex 1 of Delegated Regulation (EU) 2015/35. Information on products, unless otherwise specified in C0020, should not be disaggregated but reported under the main line of business. All non-life insurance products commerciali</w:t>
            </w:r>
            <w:r w:rsidR="0083501A">
              <w:rPr>
                <w:rFonts w:cs="Arial"/>
                <w:sz w:val="22"/>
                <w:u w:val="single"/>
              </w:rPr>
              <w:t>s</w:t>
            </w:r>
            <w:r w:rsidRPr="002052B2">
              <w:rPr>
                <w:rFonts w:cs="Arial"/>
                <w:sz w:val="22"/>
                <w:u w:val="single"/>
              </w:rPr>
              <w:t xml:space="preserve">ed should be reported under the line of business which best corresponds to the main product characteristics, taking into account the product characteristics and main risks covered by the product. For modular products, the products should be unbundled and information for each product forming the bundle should be reported under the line of business which best corresponds to the main characteristics: </w:t>
            </w:r>
          </w:p>
          <w:p w:rsidR="00CF33D7" w:rsidRPr="002052B2" w:rsidRDefault="00CF33D7" w:rsidP="00373C4D">
            <w:pPr>
              <w:spacing w:line="276" w:lineRule="auto"/>
              <w:rPr>
                <w:rFonts w:cs="Arial"/>
                <w:sz w:val="22"/>
                <w:u w:val="single"/>
              </w:rPr>
            </w:pPr>
            <w:r w:rsidRPr="002052B2">
              <w:rPr>
                <w:rFonts w:cs="Arial"/>
                <w:sz w:val="22"/>
                <w:u w:val="single"/>
              </w:rPr>
              <w:t xml:space="preserve"> </w:t>
            </w:r>
          </w:p>
          <w:p w:rsidR="00CF33D7" w:rsidRPr="002052B2" w:rsidRDefault="00CF33D7" w:rsidP="00373C4D">
            <w:pPr>
              <w:spacing w:line="276" w:lineRule="auto"/>
              <w:rPr>
                <w:rFonts w:cs="Arial"/>
                <w:sz w:val="22"/>
                <w:u w:val="single"/>
              </w:rPr>
            </w:pPr>
            <w:r w:rsidRPr="002052B2">
              <w:rPr>
                <w:rFonts w:cs="Arial"/>
                <w:sz w:val="22"/>
                <w:u w:val="single"/>
              </w:rPr>
              <w:t>The following list shall be used:</w:t>
            </w:r>
          </w:p>
          <w:p w:rsidR="00CF33D7" w:rsidRPr="002052B2" w:rsidRDefault="00CF33D7" w:rsidP="00373C4D">
            <w:pPr>
              <w:spacing w:line="276" w:lineRule="auto"/>
              <w:rPr>
                <w:rFonts w:cs="Arial"/>
                <w:sz w:val="22"/>
                <w:u w:val="single"/>
              </w:rPr>
            </w:pPr>
            <w:r w:rsidRPr="002052B2">
              <w:rPr>
                <w:rFonts w:cs="Arial"/>
                <w:sz w:val="22"/>
                <w:u w:val="single"/>
              </w:rPr>
              <w:t>1 - Medical expense insurance</w:t>
            </w:r>
          </w:p>
          <w:p w:rsidR="00CF33D7" w:rsidRPr="002052B2" w:rsidRDefault="00CF33D7" w:rsidP="00373C4D">
            <w:pPr>
              <w:spacing w:line="276" w:lineRule="auto"/>
              <w:rPr>
                <w:rFonts w:cs="Arial"/>
                <w:sz w:val="22"/>
                <w:u w:val="single"/>
              </w:rPr>
            </w:pPr>
            <w:r w:rsidRPr="002052B2">
              <w:rPr>
                <w:rFonts w:cs="Arial"/>
                <w:sz w:val="22"/>
                <w:u w:val="single"/>
              </w:rPr>
              <w:t>2 - Income protection insurance</w:t>
            </w:r>
          </w:p>
          <w:p w:rsidR="00CF33D7" w:rsidRPr="002052B2" w:rsidRDefault="00CF33D7" w:rsidP="00373C4D">
            <w:pPr>
              <w:spacing w:line="276" w:lineRule="auto"/>
              <w:rPr>
                <w:rFonts w:cs="Arial"/>
                <w:sz w:val="22"/>
                <w:u w:val="single"/>
              </w:rPr>
            </w:pPr>
            <w:r w:rsidRPr="002052B2">
              <w:rPr>
                <w:rFonts w:cs="Arial"/>
                <w:sz w:val="22"/>
                <w:u w:val="single"/>
              </w:rPr>
              <w:t>3 - Workers' compensation insurance</w:t>
            </w:r>
          </w:p>
          <w:p w:rsidR="00CF33D7" w:rsidRPr="002052B2" w:rsidRDefault="00CF33D7" w:rsidP="00373C4D">
            <w:pPr>
              <w:spacing w:line="276" w:lineRule="auto"/>
              <w:rPr>
                <w:rFonts w:cs="Arial"/>
                <w:sz w:val="22"/>
                <w:u w:val="single"/>
              </w:rPr>
            </w:pPr>
            <w:r w:rsidRPr="002052B2">
              <w:rPr>
                <w:rFonts w:cs="Arial"/>
                <w:sz w:val="22"/>
                <w:u w:val="single"/>
              </w:rPr>
              <w:t>4 - Motor vehicle liability insurance</w:t>
            </w:r>
          </w:p>
          <w:p w:rsidR="00CF33D7" w:rsidRPr="002052B2" w:rsidRDefault="00CF33D7" w:rsidP="00373C4D">
            <w:pPr>
              <w:spacing w:line="276" w:lineRule="auto"/>
              <w:rPr>
                <w:rFonts w:cs="Arial"/>
                <w:sz w:val="22"/>
                <w:u w:val="single"/>
              </w:rPr>
            </w:pPr>
            <w:r w:rsidRPr="002052B2">
              <w:rPr>
                <w:rFonts w:cs="Arial"/>
                <w:sz w:val="22"/>
                <w:u w:val="single"/>
              </w:rPr>
              <w:t>5 - Other motor insurance</w:t>
            </w:r>
          </w:p>
          <w:p w:rsidR="00CF33D7" w:rsidRPr="002052B2" w:rsidRDefault="00CF33D7" w:rsidP="00373C4D">
            <w:pPr>
              <w:spacing w:line="276" w:lineRule="auto"/>
              <w:rPr>
                <w:rFonts w:cs="Arial"/>
                <w:sz w:val="22"/>
                <w:u w:val="single"/>
              </w:rPr>
            </w:pPr>
            <w:r w:rsidRPr="002052B2">
              <w:rPr>
                <w:rFonts w:cs="Arial"/>
                <w:sz w:val="22"/>
                <w:u w:val="single"/>
              </w:rPr>
              <w:t>6 - Marine, aviation</w:t>
            </w:r>
            <w:r w:rsidR="0083501A">
              <w:rPr>
                <w:rFonts w:cs="Arial"/>
                <w:sz w:val="22"/>
                <w:u w:val="single"/>
              </w:rPr>
              <w:t>,</w:t>
            </w:r>
            <w:r w:rsidRPr="002052B2">
              <w:rPr>
                <w:rFonts w:cs="Arial"/>
                <w:sz w:val="22"/>
                <w:u w:val="single"/>
              </w:rPr>
              <w:t xml:space="preserve"> and transport insurance</w:t>
            </w:r>
          </w:p>
          <w:p w:rsidR="00CF33D7" w:rsidRPr="002052B2" w:rsidRDefault="00CF33D7" w:rsidP="00373C4D">
            <w:pPr>
              <w:spacing w:line="276" w:lineRule="auto"/>
              <w:rPr>
                <w:rFonts w:cs="Arial"/>
                <w:sz w:val="22"/>
                <w:u w:val="single"/>
              </w:rPr>
            </w:pPr>
            <w:r w:rsidRPr="002052B2">
              <w:rPr>
                <w:rFonts w:cs="Arial"/>
                <w:sz w:val="22"/>
                <w:u w:val="single"/>
              </w:rPr>
              <w:t>7 - Fire and other damage to property insurance</w:t>
            </w:r>
          </w:p>
          <w:p w:rsidR="00CF33D7" w:rsidRPr="002052B2" w:rsidRDefault="00CF33D7" w:rsidP="00373C4D">
            <w:pPr>
              <w:spacing w:line="276" w:lineRule="auto"/>
              <w:rPr>
                <w:rFonts w:cs="Arial"/>
                <w:sz w:val="22"/>
                <w:u w:val="single"/>
              </w:rPr>
            </w:pPr>
            <w:r w:rsidRPr="002052B2">
              <w:rPr>
                <w:rFonts w:cs="Arial"/>
                <w:sz w:val="22"/>
                <w:u w:val="single"/>
              </w:rPr>
              <w:t>8 - General liability insurance</w:t>
            </w:r>
          </w:p>
          <w:p w:rsidR="00CF33D7" w:rsidRPr="002052B2" w:rsidRDefault="00CF33D7" w:rsidP="00373C4D">
            <w:pPr>
              <w:spacing w:line="276" w:lineRule="auto"/>
              <w:rPr>
                <w:rFonts w:cs="Arial"/>
                <w:sz w:val="22"/>
                <w:u w:val="single"/>
              </w:rPr>
            </w:pPr>
            <w:r w:rsidRPr="002052B2">
              <w:rPr>
                <w:rFonts w:cs="Arial"/>
                <w:sz w:val="22"/>
                <w:u w:val="single"/>
              </w:rPr>
              <w:t>9 - Credit and suretyship insurance</w:t>
            </w:r>
          </w:p>
          <w:p w:rsidR="00CF33D7" w:rsidRPr="002052B2" w:rsidRDefault="00CF33D7" w:rsidP="00373C4D">
            <w:pPr>
              <w:spacing w:line="276" w:lineRule="auto"/>
              <w:rPr>
                <w:rFonts w:cs="Arial"/>
                <w:sz w:val="22"/>
                <w:u w:val="single"/>
              </w:rPr>
            </w:pPr>
            <w:r w:rsidRPr="002052B2">
              <w:rPr>
                <w:rFonts w:cs="Arial"/>
                <w:sz w:val="22"/>
                <w:u w:val="single"/>
              </w:rPr>
              <w:t>10 - Legal expenses insurance</w:t>
            </w:r>
          </w:p>
          <w:p w:rsidR="00CF33D7" w:rsidRPr="002052B2" w:rsidRDefault="00CF33D7" w:rsidP="00373C4D">
            <w:pPr>
              <w:spacing w:line="276" w:lineRule="auto"/>
              <w:rPr>
                <w:rFonts w:cs="Arial"/>
                <w:sz w:val="22"/>
                <w:u w:val="single"/>
              </w:rPr>
            </w:pPr>
            <w:r w:rsidRPr="002052B2">
              <w:rPr>
                <w:rFonts w:cs="Arial"/>
                <w:sz w:val="22"/>
                <w:u w:val="single"/>
              </w:rPr>
              <w:t>11 - Assistance</w:t>
            </w:r>
          </w:p>
          <w:p w:rsidR="00CF33D7" w:rsidRPr="002052B2" w:rsidRDefault="00CF33D7" w:rsidP="00373C4D">
            <w:pPr>
              <w:spacing w:after="120" w:line="276" w:lineRule="auto"/>
              <w:rPr>
                <w:rFonts w:cs="Arial"/>
                <w:sz w:val="22"/>
                <w:u w:val="single"/>
              </w:rPr>
            </w:pPr>
            <w:r w:rsidRPr="002052B2">
              <w:rPr>
                <w:rFonts w:cs="Arial"/>
                <w:sz w:val="22"/>
                <w:u w:val="single"/>
              </w:rPr>
              <w:t>12 - Miscellaneous financial loss</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C0020</w:t>
            </w:r>
          </w:p>
        </w:tc>
        <w:tc>
          <w:tcPr>
            <w:tcW w:w="2084" w:type="dxa"/>
          </w:tcPr>
          <w:p w:rsidR="00CF33D7" w:rsidRPr="002052B2" w:rsidRDefault="00CF33D7" w:rsidP="00373C4D">
            <w:pPr>
              <w:spacing w:line="276" w:lineRule="auto"/>
              <w:rPr>
                <w:rFonts w:cs="Arial"/>
                <w:sz w:val="22"/>
                <w:u w:val="single"/>
              </w:rPr>
            </w:pPr>
            <w:r w:rsidRPr="002052B2">
              <w:rPr>
                <w:rFonts w:cs="Arial"/>
                <w:sz w:val="22"/>
                <w:u w:val="single"/>
              </w:rPr>
              <w:t>Of which Product category</w:t>
            </w:r>
          </w:p>
        </w:tc>
        <w:tc>
          <w:tcPr>
            <w:tcW w:w="5429" w:type="dxa"/>
          </w:tcPr>
          <w:p w:rsidR="00CF33D7" w:rsidRPr="002052B2" w:rsidRDefault="00CF33D7" w:rsidP="00373C4D">
            <w:pPr>
              <w:spacing w:line="276" w:lineRule="auto"/>
              <w:rPr>
                <w:rFonts w:cs="Arial"/>
                <w:sz w:val="22"/>
                <w:u w:val="single"/>
              </w:rPr>
            </w:pPr>
            <w:r w:rsidRPr="002052B2">
              <w:rPr>
                <w:rFonts w:cs="Arial"/>
                <w:sz w:val="22"/>
                <w:u w:val="single"/>
              </w:rPr>
              <w:t>For non-life insurance products falling under one of the product categories in the closed list below information should be reported in a separate row:</w:t>
            </w:r>
          </w:p>
          <w:p w:rsidR="00CF33D7" w:rsidRPr="002052B2" w:rsidRDefault="00CF33D7" w:rsidP="00373C4D">
            <w:pPr>
              <w:spacing w:line="276" w:lineRule="auto"/>
              <w:rPr>
                <w:rFonts w:cs="Arial"/>
                <w:sz w:val="22"/>
                <w:u w:val="single"/>
              </w:rPr>
            </w:pPr>
          </w:p>
          <w:p w:rsidR="00CF33D7" w:rsidRPr="002052B2" w:rsidRDefault="00CF33D7" w:rsidP="00373C4D">
            <w:pPr>
              <w:spacing w:line="276" w:lineRule="auto"/>
              <w:rPr>
                <w:rFonts w:cs="Arial"/>
                <w:sz w:val="22"/>
                <w:u w:val="single"/>
              </w:rPr>
            </w:pPr>
            <w:r w:rsidRPr="002052B2">
              <w:rPr>
                <w:rFonts w:cs="Arial"/>
                <w:sz w:val="22"/>
                <w:u w:val="single"/>
              </w:rPr>
              <w:t>7.1 Fire and other damage to property, of which Natural catastrophe insurance: Products covering damages to properties and people caused by natural forces including earthquake, floods, storm, hail, frost, drought.</w:t>
            </w:r>
          </w:p>
          <w:p w:rsidR="00623767" w:rsidRPr="002052B2" w:rsidRDefault="00623767" w:rsidP="00373C4D">
            <w:pPr>
              <w:spacing w:line="276" w:lineRule="auto"/>
              <w:rPr>
                <w:rFonts w:cs="Arial"/>
                <w:sz w:val="22"/>
                <w:u w:val="single"/>
              </w:rPr>
            </w:pPr>
          </w:p>
          <w:p w:rsidR="00623767" w:rsidRPr="002052B2" w:rsidRDefault="00623767" w:rsidP="00373C4D">
            <w:pPr>
              <w:spacing w:line="276" w:lineRule="auto"/>
              <w:rPr>
                <w:rFonts w:cs="Arial"/>
                <w:sz w:val="22"/>
                <w:u w:val="single"/>
              </w:rPr>
            </w:pPr>
            <w:r w:rsidRPr="002052B2">
              <w:rPr>
                <w:rFonts w:cs="Arial"/>
                <w:sz w:val="22"/>
                <w:u w:val="single"/>
              </w:rPr>
              <w:t>7.2 Fire and other damage to property, of which Business Interruption: Products covering business interruption, closure of business, or any financial loss of such nature regardless of whether physical damages on an insured property are required (e</w:t>
            </w:r>
            <w:r w:rsidR="0083501A">
              <w:rPr>
                <w:rFonts w:cs="Arial"/>
                <w:sz w:val="22"/>
                <w:u w:val="single"/>
              </w:rPr>
              <w:t xml:space="preserve">g </w:t>
            </w:r>
            <w:r w:rsidRPr="002052B2">
              <w:rPr>
                <w:rFonts w:cs="Arial"/>
                <w:sz w:val="22"/>
                <w:u w:val="single"/>
              </w:rPr>
              <w:t>business interruption referring to coverage for property damage arising from storm or flood; business closure covering damage for temporary closure of shops due to administrative actions or health authorities’ decisions)</w:t>
            </w:r>
            <w:r w:rsidR="00550D99" w:rsidRPr="002052B2">
              <w:rPr>
                <w:rFonts w:cs="Arial"/>
                <w:sz w:val="22"/>
                <w:u w:val="single"/>
              </w:rPr>
              <w:t>.</w:t>
            </w:r>
          </w:p>
          <w:p w:rsidR="00CF33D7" w:rsidRPr="002052B2" w:rsidRDefault="00CF33D7" w:rsidP="00373C4D">
            <w:pPr>
              <w:spacing w:line="276" w:lineRule="auto"/>
              <w:rPr>
                <w:rFonts w:cs="Arial"/>
                <w:sz w:val="22"/>
                <w:u w:val="single"/>
              </w:rPr>
            </w:pPr>
          </w:p>
          <w:p w:rsidR="00CF33D7" w:rsidRPr="002052B2" w:rsidRDefault="00CF33D7" w:rsidP="00373C4D">
            <w:pPr>
              <w:spacing w:line="276" w:lineRule="auto"/>
              <w:rPr>
                <w:rFonts w:cs="Arial"/>
                <w:sz w:val="22"/>
                <w:u w:val="single"/>
              </w:rPr>
            </w:pPr>
            <w:r w:rsidRPr="002052B2">
              <w:rPr>
                <w:rFonts w:cs="Arial"/>
                <w:sz w:val="22"/>
                <w:u w:val="single"/>
              </w:rPr>
              <w:t>11.1  Assistance, of which Travel insurance: Products covering unforeseen losses incurred while travelling such as coverage for trip cancellation, lost luggage, flight delays and/or medical expenses while on travel</w:t>
            </w:r>
          </w:p>
          <w:p w:rsidR="00CF33D7" w:rsidRPr="002052B2" w:rsidRDefault="00CF33D7" w:rsidP="00373C4D">
            <w:pPr>
              <w:spacing w:line="276" w:lineRule="auto"/>
              <w:rPr>
                <w:rFonts w:cs="Arial"/>
                <w:sz w:val="22"/>
                <w:u w:val="single"/>
              </w:rPr>
            </w:pPr>
          </w:p>
          <w:p w:rsidR="00CF33D7" w:rsidRPr="002052B2" w:rsidRDefault="00CF33D7" w:rsidP="00373C4D">
            <w:pPr>
              <w:spacing w:line="276" w:lineRule="auto"/>
              <w:rPr>
                <w:rFonts w:cs="Arial"/>
                <w:sz w:val="22"/>
                <w:u w:val="single"/>
              </w:rPr>
            </w:pPr>
            <w:r w:rsidRPr="002052B2">
              <w:rPr>
                <w:rFonts w:cs="Arial"/>
                <w:sz w:val="22"/>
                <w:u w:val="single"/>
              </w:rPr>
              <w:t>12.1 Miscellaneous financial loss, of which Business Interruption: Products covering business interruption, closure of business, or any financial loss of such nature regardless of whether physical damages on an insured property are required (eg business interruption referring to coverage for property damage arising from storm or flood; business closure covering damage for temporary closure of shops due to administrative actions or health authorities’ decisions)</w:t>
            </w:r>
          </w:p>
          <w:p w:rsidR="00CF33D7" w:rsidRPr="002052B2" w:rsidRDefault="00CF33D7" w:rsidP="00373C4D">
            <w:pPr>
              <w:spacing w:line="276" w:lineRule="auto"/>
              <w:rPr>
                <w:rFonts w:cs="Arial"/>
                <w:sz w:val="22"/>
                <w:u w:val="single"/>
              </w:rPr>
            </w:pPr>
          </w:p>
          <w:p w:rsidR="00CF33D7" w:rsidRPr="002052B2" w:rsidRDefault="00CF33D7" w:rsidP="00373C4D">
            <w:pPr>
              <w:spacing w:after="120" w:line="276" w:lineRule="auto"/>
              <w:rPr>
                <w:rFonts w:cs="Arial"/>
                <w:sz w:val="22"/>
                <w:u w:val="single"/>
              </w:rPr>
            </w:pPr>
            <w:r w:rsidRPr="002052B2">
              <w:rPr>
                <w:rFonts w:cs="Arial"/>
                <w:sz w:val="22"/>
                <w:u w:val="single"/>
              </w:rPr>
              <w:t xml:space="preserve">12.2 Miscellaneous financial loss, of which Payment protection insurance: Products covering the event of not being able to meet the financial obligations of a mortgage, loan or any credit facilities for any reason excluding death. </w:t>
            </w:r>
          </w:p>
          <w:p w:rsidR="00C91988" w:rsidRPr="002052B2" w:rsidRDefault="00C91988" w:rsidP="00373C4D">
            <w:pPr>
              <w:spacing w:after="120" w:line="276" w:lineRule="auto"/>
              <w:rPr>
                <w:rFonts w:cs="Arial"/>
                <w:sz w:val="22"/>
                <w:u w:val="single"/>
              </w:rPr>
            </w:pPr>
            <w:r w:rsidRPr="002052B2">
              <w:rPr>
                <w:rFonts w:cs="Arial"/>
                <w:sz w:val="22"/>
                <w:u w:val="single"/>
              </w:rPr>
              <w:t>12.3 Miscellaneous financial loss, of which Travel insurance: Products covering unforeseen losses incurred while travelling such as coverage for trip cancellation, lost luggage, flight delays and/or medical expenses while on travel.</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C0050</w:t>
            </w:r>
          </w:p>
        </w:tc>
        <w:tc>
          <w:tcPr>
            <w:tcW w:w="2084" w:type="dxa"/>
          </w:tcPr>
          <w:p w:rsidR="00CF33D7" w:rsidRPr="002052B2" w:rsidRDefault="00CF33D7" w:rsidP="007D73D6">
            <w:pPr>
              <w:spacing w:line="276" w:lineRule="auto"/>
              <w:rPr>
                <w:rFonts w:cs="Arial"/>
                <w:sz w:val="22"/>
                <w:u w:val="single"/>
              </w:rPr>
            </w:pPr>
            <w:r w:rsidRPr="002052B2">
              <w:rPr>
                <w:rFonts w:cs="Arial"/>
                <w:sz w:val="22"/>
                <w:u w:val="single"/>
              </w:rPr>
              <w:t xml:space="preserve">Number of contracts at the reporting reference date </w:t>
            </w:r>
          </w:p>
        </w:tc>
        <w:tc>
          <w:tcPr>
            <w:tcW w:w="5429" w:type="dxa"/>
          </w:tcPr>
          <w:p w:rsidR="006606DE" w:rsidRPr="002052B2" w:rsidRDefault="00CF33D7" w:rsidP="006606DE">
            <w:pPr>
              <w:spacing w:after="120" w:line="276" w:lineRule="auto"/>
              <w:rPr>
                <w:rFonts w:cs="Arial"/>
                <w:sz w:val="22"/>
                <w:u w:val="single"/>
              </w:rPr>
            </w:pPr>
            <w:r w:rsidRPr="002052B2">
              <w:rPr>
                <w:rFonts w:cs="Arial"/>
                <w:sz w:val="22"/>
                <w:u w:val="single"/>
              </w:rPr>
              <w:t>Number of contracts</w:t>
            </w:r>
            <w:r w:rsidR="006606DE" w:rsidRPr="002052B2">
              <w:rPr>
                <w:rFonts w:cs="Arial"/>
                <w:sz w:val="22"/>
                <w:u w:val="single"/>
              </w:rPr>
              <w:t xml:space="preserve"> in-force at the reporting reference date.</w:t>
            </w:r>
            <w:r w:rsidRPr="002052B2">
              <w:rPr>
                <w:rFonts w:cs="Arial"/>
                <w:sz w:val="22"/>
                <w:u w:val="single"/>
              </w:rPr>
              <w:t xml:space="preserve"> </w:t>
            </w:r>
          </w:p>
          <w:p w:rsidR="00183470" w:rsidRPr="002052B2" w:rsidRDefault="00446BA0" w:rsidP="006606DE">
            <w:pPr>
              <w:spacing w:after="120" w:line="276" w:lineRule="auto"/>
              <w:rPr>
                <w:rFonts w:cs="Arial"/>
                <w:sz w:val="22"/>
                <w:u w:val="single"/>
              </w:rPr>
            </w:pPr>
            <w:r w:rsidRPr="002052B2">
              <w:rPr>
                <w:rFonts w:cs="Arial"/>
                <w:sz w:val="22"/>
                <w:u w:val="single"/>
              </w:rPr>
              <w:t>For t</w:t>
            </w:r>
            <w:r w:rsidR="006606DE" w:rsidRPr="002052B2">
              <w:rPr>
                <w:rFonts w:cs="Arial"/>
                <w:sz w:val="22"/>
                <w:u w:val="single"/>
              </w:rPr>
              <w:t xml:space="preserve">his </w:t>
            </w:r>
            <w:r w:rsidRPr="002052B2">
              <w:rPr>
                <w:rFonts w:cs="Arial"/>
                <w:sz w:val="22"/>
                <w:u w:val="single"/>
              </w:rPr>
              <w:t>purpose ‘in-force’ means that the period of validity of the contract commenced on or before the reporting reference date and ends on or after the reporting reference date.</w:t>
            </w:r>
          </w:p>
          <w:p w:rsidR="00CF33D7" w:rsidRPr="002052B2" w:rsidRDefault="00CF33D7" w:rsidP="007D73D6">
            <w:pPr>
              <w:spacing w:after="120" w:line="276" w:lineRule="auto"/>
              <w:rPr>
                <w:rFonts w:cs="Arial"/>
                <w:strike/>
                <w:sz w:val="22"/>
                <w:u w:val="single"/>
              </w:rPr>
            </w:pPr>
            <w:r w:rsidRPr="002052B2">
              <w:rPr>
                <w:rFonts w:cs="Arial"/>
                <w:sz w:val="22"/>
                <w:u w:val="single"/>
              </w:rPr>
              <w:t>Contracts with more than one policyholder count as only one contract.</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C0060</w:t>
            </w:r>
          </w:p>
        </w:tc>
        <w:tc>
          <w:tcPr>
            <w:tcW w:w="2084" w:type="dxa"/>
          </w:tcPr>
          <w:p w:rsidR="00CF33D7" w:rsidRPr="002052B2" w:rsidRDefault="00CF33D7" w:rsidP="007D73D6">
            <w:pPr>
              <w:spacing w:line="276" w:lineRule="auto"/>
              <w:rPr>
                <w:rFonts w:cs="Arial"/>
                <w:sz w:val="22"/>
                <w:u w:val="single"/>
              </w:rPr>
            </w:pPr>
            <w:r w:rsidRPr="002052B2">
              <w:rPr>
                <w:rFonts w:cs="Arial"/>
                <w:sz w:val="22"/>
                <w:u w:val="single"/>
              </w:rPr>
              <w:t xml:space="preserve">Number of contracts </w:t>
            </w:r>
            <w:r w:rsidR="001377AF" w:rsidRPr="002052B2">
              <w:rPr>
                <w:rFonts w:cs="Arial"/>
                <w:sz w:val="22"/>
                <w:u w:val="single"/>
              </w:rPr>
              <w:t xml:space="preserve">written </w:t>
            </w:r>
            <w:r w:rsidRPr="002052B2">
              <w:rPr>
                <w:rFonts w:cs="Arial"/>
                <w:sz w:val="22"/>
                <w:u w:val="single"/>
              </w:rPr>
              <w:t xml:space="preserve">during the </w:t>
            </w:r>
            <w:r w:rsidR="001377AF" w:rsidRPr="002052B2">
              <w:rPr>
                <w:rFonts w:cs="Arial"/>
                <w:sz w:val="22"/>
                <w:u w:val="single"/>
              </w:rPr>
              <w:t xml:space="preserve">reporting period </w:t>
            </w:r>
          </w:p>
        </w:tc>
        <w:tc>
          <w:tcPr>
            <w:tcW w:w="5429" w:type="dxa"/>
          </w:tcPr>
          <w:p w:rsidR="00CF33D7" w:rsidRPr="002052B2" w:rsidRDefault="00CF33D7" w:rsidP="001541B6">
            <w:pPr>
              <w:spacing w:after="120" w:line="276" w:lineRule="auto"/>
              <w:rPr>
                <w:rFonts w:cs="Arial"/>
                <w:sz w:val="22"/>
                <w:u w:val="single"/>
              </w:rPr>
            </w:pPr>
            <w:r w:rsidRPr="002052B2">
              <w:rPr>
                <w:rFonts w:cs="Arial"/>
                <w:sz w:val="22"/>
                <w:u w:val="single"/>
              </w:rPr>
              <w:t xml:space="preserve">Number of contracts </w:t>
            </w:r>
            <w:r w:rsidR="00A030E8" w:rsidRPr="002052B2">
              <w:rPr>
                <w:rFonts w:cs="Arial"/>
                <w:sz w:val="22"/>
                <w:u w:val="single"/>
              </w:rPr>
              <w:t xml:space="preserve">written </w:t>
            </w:r>
            <w:r w:rsidRPr="002052B2">
              <w:rPr>
                <w:rFonts w:cs="Arial"/>
                <w:sz w:val="22"/>
                <w:u w:val="single"/>
              </w:rPr>
              <w:t xml:space="preserve">during </w:t>
            </w:r>
            <w:r w:rsidR="0000700B" w:rsidRPr="002052B2">
              <w:rPr>
                <w:rFonts w:cs="Arial"/>
                <w:sz w:val="22"/>
                <w:u w:val="single"/>
              </w:rPr>
              <w:t xml:space="preserve">the </w:t>
            </w:r>
            <w:r w:rsidR="00225B21" w:rsidRPr="002052B2">
              <w:rPr>
                <w:rFonts w:cs="Arial"/>
                <w:sz w:val="22"/>
                <w:u w:val="single"/>
              </w:rPr>
              <w:t>‘</w:t>
            </w:r>
            <w:r w:rsidRPr="002052B2">
              <w:rPr>
                <w:rFonts w:cs="Arial"/>
                <w:sz w:val="22"/>
                <w:u w:val="single"/>
              </w:rPr>
              <w:t xml:space="preserve">reporting </w:t>
            </w:r>
            <w:r w:rsidR="001377AF" w:rsidRPr="002052B2">
              <w:rPr>
                <w:rFonts w:cs="Arial"/>
                <w:sz w:val="22"/>
                <w:u w:val="single"/>
              </w:rPr>
              <w:t>period</w:t>
            </w:r>
            <w:r w:rsidR="00225B21" w:rsidRPr="002052B2">
              <w:rPr>
                <w:rFonts w:cs="Arial"/>
                <w:sz w:val="22"/>
                <w:u w:val="single"/>
              </w:rPr>
              <w:t>’</w:t>
            </w:r>
            <w:r w:rsidR="001377AF" w:rsidRPr="002052B2">
              <w:rPr>
                <w:rFonts w:cs="Arial"/>
                <w:sz w:val="22"/>
                <w:u w:val="single"/>
              </w:rPr>
              <w:t xml:space="preserve"> </w:t>
            </w:r>
            <w:r w:rsidRPr="002052B2">
              <w:rPr>
                <w:rFonts w:cs="Arial"/>
                <w:sz w:val="22"/>
                <w:u w:val="single"/>
              </w:rPr>
              <w:t xml:space="preserve">(this </w:t>
            </w:r>
            <w:r w:rsidR="001377AF" w:rsidRPr="002052B2">
              <w:rPr>
                <w:rFonts w:cs="Arial"/>
                <w:sz w:val="22"/>
                <w:u w:val="single"/>
              </w:rPr>
              <w:t xml:space="preserve">includes </w:t>
            </w:r>
            <w:r w:rsidRPr="002052B2">
              <w:rPr>
                <w:rFonts w:cs="Arial"/>
                <w:sz w:val="22"/>
                <w:u w:val="single"/>
              </w:rPr>
              <w:t xml:space="preserve">contracts that are renewed). </w:t>
            </w:r>
          </w:p>
          <w:p w:rsidR="00071C39" w:rsidRPr="002052B2" w:rsidRDefault="00CF33D7" w:rsidP="008102DB">
            <w:pPr>
              <w:spacing w:after="120" w:line="276" w:lineRule="auto"/>
              <w:rPr>
                <w:rFonts w:cs="Arial"/>
                <w:sz w:val="22"/>
                <w:u w:val="single"/>
              </w:rPr>
            </w:pPr>
            <w:r w:rsidRPr="002052B2">
              <w:rPr>
                <w:rFonts w:cs="Arial"/>
                <w:sz w:val="22"/>
                <w:u w:val="single"/>
              </w:rPr>
              <w:t>Contracts with more than one policyholder count as only one contract.</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C0070</w:t>
            </w:r>
          </w:p>
        </w:tc>
        <w:tc>
          <w:tcPr>
            <w:tcW w:w="2084" w:type="dxa"/>
          </w:tcPr>
          <w:p w:rsidR="00CF33D7" w:rsidRPr="002052B2" w:rsidRDefault="00CF33D7" w:rsidP="008102DB">
            <w:pPr>
              <w:spacing w:line="276" w:lineRule="auto"/>
              <w:rPr>
                <w:rFonts w:cs="Arial"/>
                <w:sz w:val="22"/>
                <w:u w:val="single"/>
              </w:rPr>
            </w:pPr>
            <w:r w:rsidRPr="002052B2">
              <w:rPr>
                <w:rFonts w:cs="Arial"/>
                <w:sz w:val="22"/>
                <w:u w:val="single"/>
              </w:rPr>
              <w:t xml:space="preserve">Total amount of Gross </w:t>
            </w:r>
            <w:r w:rsidR="00D077DD" w:rsidRPr="002052B2">
              <w:rPr>
                <w:rFonts w:cs="Arial"/>
                <w:sz w:val="22"/>
                <w:u w:val="single"/>
              </w:rPr>
              <w:t>w</w:t>
            </w:r>
            <w:r w:rsidRPr="002052B2">
              <w:rPr>
                <w:rFonts w:cs="Arial"/>
                <w:sz w:val="22"/>
                <w:u w:val="single"/>
              </w:rPr>
              <w:t xml:space="preserve">ritten premiums </w:t>
            </w:r>
          </w:p>
        </w:tc>
        <w:tc>
          <w:tcPr>
            <w:tcW w:w="5429" w:type="dxa"/>
          </w:tcPr>
          <w:p w:rsidR="00CF33D7" w:rsidRPr="002052B2" w:rsidRDefault="00CF33D7" w:rsidP="00373C4D">
            <w:pPr>
              <w:pStyle w:val="Default"/>
              <w:rPr>
                <w:rFonts w:ascii="Arial" w:hAnsi="Arial" w:cs="Arial"/>
                <w:sz w:val="22"/>
                <w:szCs w:val="22"/>
                <w:u w:val="single"/>
              </w:rPr>
            </w:pPr>
            <w:r w:rsidRPr="002052B2">
              <w:rPr>
                <w:rFonts w:ascii="Arial" w:hAnsi="Arial" w:cs="Arial"/>
                <w:sz w:val="22"/>
                <w:szCs w:val="22"/>
                <w:u w:val="single"/>
              </w:rPr>
              <w:t xml:space="preserve">Total amount of </w:t>
            </w:r>
            <w:hyperlink r:id="rId7" w:history="1">
              <w:r w:rsidRPr="00CF07C1">
                <w:rPr>
                  <w:rStyle w:val="Hyperlink"/>
                  <w:rFonts w:ascii="Arial" w:hAnsi="Arial" w:cs="Arial"/>
                  <w:color w:val="auto"/>
                  <w:sz w:val="22"/>
                  <w:szCs w:val="22"/>
                </w:rPr>
                <w:t>gross written premiums</w:t>
              </w:r>
            </w:hyperlink>
            <w:r w:rsidRPr="00CF07C1">
              <w:rPr>
                <w:rFonts w:ascii="Arial" w:hAnsi="Arial" w:cs="Arial"/>
                <w:color w:val="auto"/>
                <w:sz w:val="22"/>
                <w:szCs w:val="22"/>
                <w:u w:val="single"/>
              </w:rPr>
              <w:t xml:space="preserve"> in the </w:t>
            </w:r>
            <w:r w:rsidR="00225B21" w:rsidRPr="00CF07C1">
              <w:rPr>
                <w:rFonts w:ascii="Arial" w:hAnsi="Arial" w:cs="Arial"/>
                <w:color w:val="auto"/>
                <w:sz w:val="22"/>
                <w:szCs w:val="22"/>
                <w:u w:val="single"/>
              </w:rPr>
              <w:t>‘</w:t>
            </w:r>
            <w:r w:rsidR="00802E23" w:rsidRPr="00CF07C1">
              <w:rPr>
                <w:rFonts w:ascii="Arial" w:hAnsi="Arial" w:cs="Arial"/>
                <w:color w:val="auto"/>
                <w:sz w:val="22"/>
                <w:szCs w:val="22"/>
                <w:u w:val="single"/>
              </w:rPr>
              <w:t xml:space="preserve">reporting </w:t>
            </w:r>
            <w:r w:rsidRPr="00CF07C1">
              <w:rPr>
                <w:rFonts w:ascii="Arial" w:hAnsi="Arial" w:cs="Arial"/>
                <w:color w:val="auto"/>
                <w:sz w:val="22"/>
                <w:szCs w:val="22"/>
                <w:u w:val="single"/>
              </w:rPr>
              <w:t>period</w:t>
            </w:r>
            <w:r w:rsidR="00225B21" w:rsidRPr="002052B2">
              <w:rPr>
                <w:rFonts w:ascii="Arial" w:hAnsi="Arial" w:cs="Arial"/>
                <w:sz w:val="22"/>
                <w:szCs w:val="22"/>
                <w:u w:val="single"/>
              </w:rPr>
              <w:t>’</w:t>
            </w:r>
            <w:r w:rsidRPr="002052B2">
              <w:rPr>
                <w:rFonts w:ascii="Arial" w:hAnsi="Arial" w:cs="Arial"/>
                <w:sz w:val="22"/>
                <w:szCs w:val="22"/>
                <w:u w:val="single"/>
              </w:rPr>
              <w:t xml:space="preserve">. </w:t>
            </w:r>
          </w:p>
          <w:p w:rsidR="006606DE" w:rsidRPr="002052B2" w:rsidRDefault="006606DE" w:rsidP="00373C4D">
            <w:pPr>
              <w:pStyle w:val="Default"/>
              <w:rPr>
                <w:rFonts w:ascii="Arial" w:hAnsi="Arial" w:cs="Arial"/>
                <w:sz w:val="22"/>
                <w:szCs w:val="22"/>
                <w:u w:val="single"/>
              </w:rPr>
            </w:pPr>
          </w:p>
          <w:p w:rsidR="00561903" w:rsidRPr="002052B2" w:rsidRDefault="00702884" w:rsidP="00373C4D">
            <w:pPr>
              <w:pStyle w:val="Default"/>
              <w:rPr>
                <w:rFonts w:ascii="Arial" w:hAnsi="Arial" w:cs="Arial"/>
                <w:sz w:val="22"/>
                <w:szCs w:val="22"/>
                <w:u w:val="single"/>
              </w:rPr>
            </w:pPr>
            <w:r w:rsidRPr="002052B2">
              <w:rPr>
                <w:rFonts w:ascii="Arial" w:hAnsi="Arial" w:cs="Arial"/>
                <w:sz w:val="22"/>
                <w:szCs w:val="22"/>
                <w:u w:val="single"/>
              </w:rPr>
              <w:t xml:space="preserve">  </w:t>
            </w:r>
          </w:p>
          <w:p w:rsidR="00CF33D7" w:rsidRPr="002052B2" w:rsidRDefault="00CF33D7" w:rsidP="00373C4D">
            <w:pPr>
              <w:spacing w:line="276" w:lineRule="auto"/>
              <w:rPr>
                <w:rFonts w:cs="Arial"/>
                <w:sz w:val="22"/>
                <w:u w:val="single"/>
              </w:rPr>
            </w:pPr>
          </w:p>
        </w:tc>
      </w:tr>
      <w:tr w:rsidR="00802E23" w:rsidRPr="002052B2" w:rsidTr="00373C4D">
        <w:tc>
          <w:tcPr>
            <w:tcW w:w="1809" w:type="dxa"/>
          </w:tcPr>
          <w:p w:rsidR="00802E23" w:rsidRPr="002052B2" w:rsidRDefault="00802E23" w:rsidP="00802E23">
            <w:pPr>
              <w:spacing w:line="276" w:lineRule="auto"/>
              <w:rPr>
                <w:rFonts w:cs="Arial"/>
                <w:sz w:val="22"/>
                <w:u w:val="single"/>
              </w:rPr>
            </w:pPr>
            <w:r w:rsidRPr="002052B2">
              <w:rPr>
                <w:rFonts w:cs="Arial"/>
                <w:sz w:val="22"/>
                <w:u w:val="single"/>
              </w:rPr>
              <w:t>C0110</w:t>
            </w:r>
          </w:p>
        </w:tc>
        <w:tc>
          <w:tcPr>
            <w:tcW w:w="2084" w:type="dxa"/>
          </w:tcPr>
          <w:p w:rsidR="00802E23" w:rsidRPr="002052B2" w:rsidRDefault="00802E23" w:rsidP="008102DB">
            <w:pPr>
              <w:spacing w:line="276" w:lineRule="auto"/>
              <w:rPr>
                <w:rFonts w:cs="Arial"/>
                <w:strike/>
                <w:sz w:val="22"/>
                <w:u w:val="single"/>
              </w:rPr>
            </w:pPr>
            <w:r w:rsidRPr="002052B2">
              <w:rPr>
                <w:rFonts w:cs="Arial"/>
                <w:sz w:val="22"/>
                <w:u w:val="single"/>
              </w:rPr>
              <w:t xml:space="preserve">Total amount of gross claims paid </w:t>
            </w:r>
          </w:p>
        </w:tc>
        <w:tc>
          <w:tcPr>
            <w:tcW w:w="5429" w:type="dxa"/>
          </w:tcPr>
          <w:p w:rsidR="00802E23" w:rsidRPr="002052B2" w:rsidRDefault="00802E23" w:rsidP="00802E23">
            <w:pPr>
              <w:pStyle w:val="Default"/>
              <w:spacing w:after="120"/>
              <w:rPr>
                <w:rFonts w:ascii="Arial" w:hAnsi="Arial" w:cs="Arial"/>
                <w:sz w:val="22"/>
                <w:szCs w:val="22"/>
                <w:u w:val="single"/>
              </w:rPr>
            </w:pPr>
            <w:r w:rsidRPr="002052B2">
              <w:rPr>
                <w:rFonts w:ascii="Arial" w:hAnsi="Arial" w:cs="Arial"/>
                <w:sz w:val="22"/>
                <w:szCs w:val="22"/>
                <w:u w:val="single"/>
              </w:rPr>
              <w:t xml:space="preserve">Claims paid in the 12 months up to and including the reporting reference date gross of reinsurance related to the sum of the direct business. </w:t>
            </w:r>
          </w:p>
          <w:p w:rsidR="00802E23" w:rsidRPr="002052B2" w:rsidRDefault="00802E23" w:rsidP="00802E23">
            <w:pPr>
              <w:pStyle w:val="Default"/>
              <w:spacing w:after="120"/>
              <w:rPr>
                <w:rFonts w:ascii="Arial" w:hAnsi="Arial" w:cs="Arial"/>
                <w:sz w:val="22"/>
                <w:szCs w:val="22"/>
                <w:u w:val="single"/>
              </w:rPr>
            </w:pPr>
            <w:r w:rsidRPr="002052B2">
              <w:rPr>
                <w:rFonts w:ascii="Arial" w:hAnsi="Arial" w:cs="Arial"/>
                <w:sz w:val="22"/>
                <w:szCs w:val="22"/>
                <w:u w:val="single"/>
              </w:rPr>
              <w:t xml:space="preserve">This shall not include changes in provisions for claims that have not yet been paid. </w:t>
            </w:r>
          </w:p>
          <w:p w:rsidR="00802E23" w:rsidRPr="002052B2" w:rsidRDefault="00802E23" w:rsidP="00802E23">
            <w:pPr>
              <w:pStyle w:val="Default"/>
              <w:spacing w:after="120"/>
              <w:rPr>
                <w:rFonts w:ascii="Arial" w:hAnsi="Arial" w:cs="Arial"/>
                <w:sz w:val="22"/>
                <w:szCs w:val="22"/>
                <w:u w:val="single"/>
              </w:rPr>
            </w:pPr>
            <w:r w:rsidRPr="002052B2">
              <w:rPr>
                <w:rFonts w:ascii="Arial" w:hAnsi="Arial" w:cs="Arial"/>
                <w:sz w:val="22"/>
                <w:szCs w:val="22"/>
                <w:u w:val="single"/>
              </w:rPr>
              <w:t xml:space="preserve">This shall include </w:t>
            </w:r>
            <w:r w:rsidR="00225B21" w:rsidRPr="002052B2">
              <w:rPr>
                <w:rFonts w:ascii="Arial" w:hAnsi="Arial" w:cs="Arial"/>
                <w:sz w:val="22"/>
                <w:szCs w:val="22"/>
                <w:u w:val="single"/>
              </w:rPr>
              <w:t>‘</w:t>
            </w:r>
            <w:r w:rsidR="00353A1D" w:rsidRPr="002052B2">
              <w:rPr>
                <w:rFonts w:ascii="Arial" w:hAnsi="Arial" w:cs="Arial"/>
                <w:sz w:val="22"/>
                <w:szCs w:val="22"/>
                <w:u w:val="single"/>
              </w:rPr>
              <w:t xml:space="preserve">allocated loss adjustment </w:t>
            </w:r>
            <w:r w:rsidRPr="002052B2">
              <w:rPr>
                <w:rFonts w:ascii="Arial" w:hAnsi="Arial" w:cs="Arial"/>
                <w:sz w:val="22"/>
                <w:szCs w:val="22"/>
                <w:u w:val="single"/>
              </w:rPr>
              <w:t>expenses</w:t>
            </w:r>
            <w:r w:rsidR="00225B21" w:rsidRPr="002052B2">
              <w:rPr>
                <w:rFonts w:ascii="Arial" w:hAnsi="Arial" w:cs="Arial"/>
                <w:sz w:val="22"/>
                <w:szCs w:val="22"/>
                <w:u w:val="single"/>
              </w:rPr>
              <w:t>’</w:t>
            </w:r>
            <w:r w:rsidRPr="002052B2">
              <w:rPr>
                <w:rFonts w:ascii="Arial" w:hAnsi="Arial" w:cs="Arial"/>
                <w:sz w:val="22"/>
                <w:szCs w:val="22"/>
                <w:u w:val="single"/>
              </w:rPr>
              <w:t xml:space="preserve">. </w:t>
            </w:r>
          </w:p>
          <w:p w:rsidR="00802E23" w:rsidRPr="002052B2" w:rsidRDefault="00802E23" w:rsidP="008102DB">
            <w:pPr>
              <w:pStyle w:val="tbl-txt"/>
              <w:spacing w:before="0" w:beforeAutospacing="0" w:after="120" w:afterAutospacing="0" w:line="276" w:lineRule="auto"/>
              <w:jc w:val="both"/>
              <w:rPr>
                <w:rFonts w:ascii="Arial" w:hAnsi="Arial" w:cs="Arial"/>
                <w:strike/>
                <w:sz w:val="22"/>
                <w:szCs w:val="22"/>
                <w:u w:val="single"/>
              </w:rPr>
            </w:pPr>
            <w:r w:rsidRPr="002052B2">
              <w:rPr>
                <w:rFonts w:ascii="Arial" w:hAnsi="Arial" w:cs="Arial"/>
                <w:sz w:val="22"/>
                <w:szCs w:val="22"/>
                <w:u w:val="single"/>
              </w:rPr>
              <w:t xml:space="preserve">This shall exclude movement in provisions </w:t>
            </w:r>
            <w:r w:rsidR="00353A1D" w:rsidRPr="002052B2">
              <w:rPr>
                <w:rFonts w:ascii="Arial" w:hAnsi="Arial" w:cs="Arial"/>
                <w:sz w:val="22"/>
                <w:szCs w:val="22"/>
                <w:u w:val="single"/>
              </w:rPr>
              <w:t xml:space="preserve">for </w:t>
            </w:r>
            <w:r w:rsidR="00225B21" w:rsidRPr="002052B2">
              <w:rPr>
                <w:rFonts w:ascii="Arial" w:hAnsi="Arial" w:cs="Arial"/>
                <w:sz w:val="22"/>
                <w:szCs w:val="22"/>
                <w:u w:val="single"/>
              </w:rPr>
              <w:t>‘</w:t>
            </w:r>
            <w:r w:rsidR="00353A1D" w:rsidRPr="002052B2">
              <w:rPr>
                <w:rFonts w:ascii="Arial" w:hAnsi="Arial" w:cs="Arial"/>
                <w:sz w:val="22"/>
                <w:szCs w:val="22"/>
                <w:u w:val="single"/>
              </w:rPr>
              <w:t xml:space="preserve">allocated loss adjustment </w:t>
            </w:r>
            <w:r w:rsidRPr="002052B2">
              <w:rPr>
                <w:rFonts w:ascii="Arial" w:hAnsi="Arial" w:cs="Arial"/>
                <w:sz w:val="22"/>
                <w:szCs w:val="22"/>
                <w:u w:val="single"/>
              </w:rPr>
              <w:t>expenses</w:t>
            </w:r>
            <w:r w:rsidR="00225B21" w:rsidRPr="002052B2">
              <w:rPr>
                <w:rFonts w:ascii="Arial" w:hAnsi="Arial" w:cs="Arial"/>
                <w:sz w:val="22"/>
                <w:szCs w:val="22"/>
                <w:u w:val="single"/>
              </w:rPr>
              <w:t>’</w:t>
            </w:r>
            <w:r w:rsidRPr="002052B2">
              <w:rPr>
                <w:rFonts w:ascii="Arial" w:hAnsi="Arial" w:cs="Arial"/>
                <w:sz w:val="22"/>
                <w:szCs w:val="22"/>
                <w:u w:val="single"/>
              </w:rPr>
              <w:t>.</w:t>
            </w:r>
          </w:p>
        </w:tc>
      </w:tr>
      <w:tr w:rsidR="00CF33D7" w:rsidRPr="002052B2" w:rsidTr="00933B52">
        <w:tc>
          <w:tcPr>
            <w:tcW w:w="1809" w:type="dxa"/>
            <w:tcBorders>
              <w:bottom w:val="single" w:sz="4" w:space="0" w:color="auto"/>
            </w:tcBorders>
          </w:tcPr>
          <w:p w:rsidR="00CF33D7" w:rsidRPr="002052B2" w:rsidRDefault="00CF33D7" w:rsidP="00373C4D">
            <w:pPr>
              <w:spacing w:line="276" w:lineRule="auto"/>
              <w:rPr>
                <w:rFonts w:cs="Arial"/>
                <w:strike/>
                <w:sz w:val="22"/>
                <w:u w:val="single"/>
              </w:rPr>
            </w:pPr>
            <w:r w:rsidRPr="002052B2">
              <w:rPr>
                <w:rFonts w:cs="Arial"/>
                <w:sz w:val="22"/>
                <w:u w:val="single"/>
              </w:rPr>
              <w:t>C0120</w:t>
            </w:r>
          </w:p>
        </w:tc>
        <w:tc>
          <w:tcPr>
            <w:tcW w:w="2084" w:type="dxa"/>
            <w:tcBorders>
              <w:bottom w:val="single" w:sz="4" w:space="0" w:color="auto"/>
            </w:tcBorders>
          </w:tcPr>
          <w:p w:rsidR="00CF33D7" w:rsidRPr="002052B2" w:rsidRDefault="00CF33D7" w:rsidP="00373C4D">
            <w:pPr>
              <w:spacing w:line="276" w:lineRule="auto"/>
              <w:rPr>
                <w:rFonts w:cs="Arial"/>
                <w:strike/>
                <w:sz w:val="22"/>
                <w:u w:val="single"/>
              </w:rPr>
            </w:pPr>
            <w:r w:rsidRPr="002052B2">
              <w:rPr>
                <w:rFonts w:cs="Arial"/>
                <w:sz w:val="22"/>
                <w:u w:val="single"/>
              </w:rPr>
              <w:t>Country</w:t>
            </w:r>
          </w:p>
        </w:tc>
        <w:tc>
          <w:tcPr>
            <w:tcW w:w="5429" w:type="dxa"/>
            <w:tcBorders>
              <w:bottom w:val="single" w:sz="4" w:space="0" w:color="auto"/>
            </w:tcBorders>
          </w:tcPr>
          <w:p w:rsidR="00CF33D7" w:rsidRPr="002052B2" w:rsidRDefault="00CF33D7" w:rsidP="00373C4D">
            <w:pPr>
              <w:spacing w:line="276" w:lineRule="auto"/>
              <w:rPr>
                <w:rFonts w:cs="Arial"/>
                <w:sz w:val="22"/>
                <w:u w:val="single"/>
              </w:rPr>
            </w:pPr>
            <w:r w:rsidRPr="002052B2">
              <w:rPr>
                <w:rFonts w:cs="Arial"/>
                <w:sz w:val="22"/>
                <w:u w:val="single"/>
              </w:rPr>
              <w:t xml:space="preserve">Country ISO 3166–1 alpha–2 code or list of codes according to the following instructions: </w:t>
            </w:r>
          </w:p>
          <w:p w:rsidR="00CF33D7" w:rsidRPr="002052B2" w:rsidRDefault="00CF33D7" w:rsidP="00373C4D">
            <w:pPr>
              <w:spacing w:line="276" w:lineRule="auto"/>
              <w:rPr>
                <w:rFonts w:cs="Arial"/>
                <w:sz w:val="22"/>
                <w:u w:val="single"/>
              </w:rPr>
            </w:pPr>
            <w:r w:rsidRPr="002052B2">
              <w:rPr>
                <w:rFonts w:cs="Arial"/>
                <w:sz w:val="22"/>
                <w:u w:val="single"/>
              </w:rPr>
              <w:t xml:space="preserve">- ISO 3166–1 alpha–2 code of the country where the contract was entered into, for countries representing more than 10 % of the gross undiscounted claims provisions or gross written premiums for a given product. </w:t>
            </w:r>
          </w:p>
          <w:p w:rsidR="00CF33D7" w:rsidRPr="002052B2" w:rsidRDefault="00CF33D7" w:rsidP="008102DB">
            <w:pPr>
              <w:spacing w:after="120" w:line="276" w:lineRule="auto"/>
              <w:rPr>
                <w:rFonts w:cs="Arial"/>
                <w:strike/>
                <w:sz w:val="22"/>
                <w:u w:val="single"/>
              </w:rPr>
            </w:pPr>
            <w:r w:rsidRPr="002052B2">
              <w:rPr>
                <w:rFonts w:cs="Arial"/>
                <w:sz w:val="22"/>
                <w:u w:val="single"/>
              </w:rPr>
              <w:t>- For countries representing less than 10 % of the gross undiscounted claims provisions or gross written premiums for a given product, report a list of ISO 3166–1 alpha–2 Codes of the countries concerned.</w:t>
            </w:r>
          </w:p>
        </w:tc>
      </w:tr>
      <w:tr w:rsidR="00933B52" w:rsidRPr="002052B2" w:rsidTr="00A97D83">
        <w:tc>
          <w:tcPr>
            <w:tcW w:w="9322" w:type="dxa"/>
            <w:gridSpan w:val="3"/>
            <w:tcBorders>
              <w:top w:val="single" w:sz="4" w:space="0" w:color="auto"/>
              <w:left w:val="single" w:sz="4" w:space="0" w:color="auto"/>
              <w:bottom w:val="single" w:sz="4" w:space="0" w:color="auto"/>
              <w:right w:val="single" w:sz="4" w:space="0" w:color="auto"/>
            </w:tcBorders>
          </w:tcPr>
          <w:p w:rsidR="00933B52" w:rsidRPr="002052B2" w:rsidRDefault="00933B52" w:rsidP="00933B52">
            <w:pPr>
              <w:spacing w:line="276" w:lineRule="auto"/>
              <w:rPr>
                <w:rFonts w:cs="Arial"/>
                <w:sz w:val="22"/>
                <w:u w:val="single"/>
              </w:rPr>
            </w:pPr>
            <w:r w:rsidRPr="002052B2">
              <w:rPr>
                <w:rFonts w:cs="Arial"/>
                <w:b/>
                <w:sz w:val="22"/>
                <w:u w:val="single"/>
              </w:rPr>
              <w:t>Information on number of insured</w:t>
            </w:r>
          </w:p>
        </w:tc>
      </w:tr>
      <w:tr w:rsidR="00933B52" w:rsidRPr="002052B2" w:rsidTr="00933B52">
        <w:tc>
          <w:tcPr>
            <w:tcW w:w="1809" w:type="dxa"/>
            <w:tcBorders>
              <w:top w:val="single" w:sz="4" w:space="0" w:color="auto"/>
            </w:tcBorders>
          </w:tcPr>
          <w:p w:rsidR="00933B52" w:rsidRPr="002052B2" w:rsidRDefault="00933B52" w:rsidP="00933B52">
            <w:pPr>
              <w:spacing w:line="276" w:lineRule="auto"/>
              <w:rPr>
                <w:rFonts w:cs="Arial"/>
                <w:sz w:val="22"/>
                <w:u w:val="single"/>
              </w:rPr>
            </w:pPr>
            <w:r w:rsidRPr="002052B2">
              <w:rPr>
                <w:rFonts w:cs="Arial"/>
                <w:sz w:val="22"/>
                <w:u w:val="single"/>
              </w:rPr>
              <w:t>C0130</w:t>
            </w:r>
          </w:p>
        </w:tc>
        <w:tc>
          <w:tcPr>
            <w:tcW w:w="2084" w:type="dxa"/>
            <w:tcBorders>
              <w:top w:val="single" w:sz="4" w:space="0" w:color="auto"/>
            </w:tcBorders>
          </w:tcPr>
          <w:p w:rsidR="00933B52" w:rsidRPr="002052B2" w:rsidRDefault="00933B52" w:rsidP="008102DB">
            <w:pPr>
              <w:spacing w:line="276" w:lineRule="auto"/>
              <w:rPr>
                <w:rFonts w:cs="Arial"/>
                <w:sz w:val="22"/>
                <w:u w:val="single"/>
              </w:rPr>
            </w:pPr>
            <w:r w:rsidRPr="002052B2">
              <w:rPr>
                <w:rFonts w:cs="Arial"/>
                <w:sz w:val="22"/>
                <w:u w:val="single"/>
              </w:rPr>
              <w:t xml:space="preserve">Number of insured at the reporting reference date </w:t>
            </w:r>
          </w:p>
        </w:tc>
        <w:tc>
          <w:tcPr>
            <w:tcW w:w="5429" w:type="dxa"/>
            <w:tcBorders>
              <w:top w:val="single" w:sz="4" w:space="0" w:color="auto"/>
            </w:tcBorders>
          </w:tcPr>
          <w:p w:rsidR="00933B52" w:rsidRPr="002052B2" w:rsidRDefault="00933B52" w:rsidP="00933B52">
            <w:pPr>
              <w:spacing w:line="276" w:lineRule="auto"/>
              <w:rPr>
                <w:rFonts w:cs="Arial"/>
                <w:sz w:val="22"/>
                <w:u w:val="single"/>
              </w:rPr>
            </w:pPr>
            <w:r w:rsidRPr="002052B2">
              <w:rPr>
                <w:rFonts w:cs="Arial"/>
                <w:sz w:val="22"/>
                <w:u w:val="single"/>
              </w:rPr>
              <w:t>For products falling under line of business 1 and product categories 11.1 and 12.2 report the total number of insured for contracts reported under C0050.</w:t>
            </w:r>
          </w:p>
          <w:p w:rsidR="00933B52" w:rsidRPr="002052B2" w:rsidRDefault="00933B52" w:rsidP="00933B52">
            <w:pPr>
              <w:spacing w:line="276" w:lineRule="auto"/>
              <w:rPr>
                <w:rFonts w:cs="Arial"/>
                <w:sz w:val="22"/>
                <w:u w:val="single"/>
              </w:rPr>
            </w:pPr>
          </w:p>
        </w:tc>
      </w:tr>
      <w:tr w:rsidR="00933B52" w:rsidRPr="002052B2" w:rsidTr="00373C4D">
        <w:tc>
          <w:tcPr>
            <w:tcW w:w="1809" w:type="dxa"/>
          </w:tcPr>
          <w:p w:rsidR="00933B52" w:rsidRPr="002052B2" w:rsidRDefault="00933B52" w:rsidP="00933B52">
            <w:pPr>
              <w:spacing w:line="276" w:lineRule="auto"/>
              <w:rPr>
                <w:rFonts w:cs="Arial"/>
                <w:sz w:val="22"/>
                <w:u w:val="single"/>
              </w:rPr>
            </w:pPr>
            <w:r w:rsidRPr="002052B2">
              <w:rPr>
                <w:rFonts w:cs="Arial"/>
                <w:sz w:val="22"/>
                <w:u w:val="single"/>
              </w:rPr>
              <w:t>C0140</w:t>
            </w:r>
          </w:p>
        </w:tc>
        <w:tc>
          <w:tcPr>
            <w:tcW w:w="2084" w:type="dxa"/>
          </w:tcPr>
          <w:p w:rsidR="00933B52" w:rsidRPr="002052B2" w:rsidRDefault="00933B52" w:rsidP="008102DB">
            <w:pPr>
              <w:spacing w:line="276" w:lineRule="auto"/>
              <w:rPr>
                <w:rFonts w:cs="Arial"/>
                <w:sz w:val="22"/>
                <w:u w:val="single"/>
              </w:rPr>
            </w:pPr>
            <w:r w:rsidRPr="002052B2">
              <w:rPr>
                <w:rFonts w:cs="Arial"/>
                <w:sz w:val="22"/>
                <w:u w:val="single"/>
              </w:rPr>
              <w:t xml:space="preserve">Number of insured properties at the reporting reference date </w:t>
            </w:r>
          </w:p>
        </w:tc>
        <w:tc>
          <w:tcPr>
            <w:tcW w:w="5429" w:type="dxa"/>
          </w:tcPr>
          <w:p w:rsidR="00933B52" w:rsidRPr="002052B2" w:rsidRDefault="00933B52" w:rsidP="00933B52">
            <w:pPr>
              <w:spacing w:line="276" w:lineRule="auto"/>
              <w:rPr>
                <w:rFonts w:cs="Arial"/>
                <w:sz w:val="22"/>
                <w:u w:val="single"/>
              </w:rPr>
            </w:pPr>
            <w:r w:rsidRPr="002052B2">
              <w:rPr>
                <w:rFonts w:cs="Arial"/>
                <w:sz w:val="22"/>
                <w:u w:val="single"/>
              </w:rPr>
              <w:t>For products falling under line of business 4 and 5 report the total number of insured properties for contracts reported under C0050.</w:t>
            </w:r>
          </w:p>
        </w:tc>
      </w:tr>
      <w:tr w:rsidR="00755C4B" w:rsidRPr="002052B2" w:rsidTr="003A63CD">
        <w:tc>
          <w:tcPr>
            <w:tcW w:w="9322" w:type="dxa"/>
            <w:gridSpan w:val="3"/>
          </w:tcPr>
          <w:p w:rsidR="00755C4B" w:rsidRPr="002052B2" w:rsidRDefault="00755C4B" w:rsidP="00933B52">
            <w:pPr>
              <w:spacing w:line="276" w:lineRule="auto"/>
              <w:rPr>
                <w:rFonts w:cs="Arial"/>
                <w:b/>
                <w:bCs/>
                <w:sz w:val="22"/>
                <w:u w:val="single"/>
              </w:rPr>
            </w:pPr>
            <w:r w:rsidRPr="002052B2">
              <w:rPr>
                <w:rFonts w:cs="Arial"/>
                <w:b/>
                <w:bCs/>
                <w:sz w:val="22"/>
                <w:u w:val="single"/>
              </w:rPr>
              <w:t>Information on claims provisions</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C01</w:t>
            </w:r>
            <w:r w:rsidR="00755C4B" w:rsidRPr="002052B2">
              <w:rPr>
                <w:rFonts w:cs="Arial"/>
                <w:sz w:val="22"/>
                <w:u w:val="single"/>
              </w:rPr>
              <w:t>5</w:t>
            </w:r>
            <w:r w:rsidRPr="002052B2">
              <w:rPr>
                <w:rFonts w:cs="Arial"/>
                <w:sz w:val="22"/>
                <w:u w:val="single"/>
              </w:rPr>
              <w:t>0</w:t>
            </w:r>
          </w:p>
        </w:tc>
        <w:tc>
          <w:tcPr>
            <w:tcW w:w="2084" w:type="dxa"/>
          </w:tcPr>
          <w:p w:rsidR="00CF33D7" w:rsidRPr="002052B2" w:rsidRDefault="000B21A5" w:rsidP="00373C4D">
            <w:pPr>
              <w:spacing w:line="276" w:lineRule="auto"/>
              <w:rPr>
                <w:rFonts w:cs="Arial"/>
                <w:sz w:val="22"/>
                <w:u w:val="single"/>
              </w:rPr>
            </w:pPr>
            <w:r w:rsidRPr="002052B2">
              <w:rPr>
                <w:rFonts w:cs="Arial"/>
                <w:sz w:val="22"/>
                <w:u w:val="single"/>
              </w:rPr>
              <w:t>G</w:t>
            </w:r>
            <w:r w:rsidR="00CF33D7" w:rsidRPr="002052B2">
              <w:rPr>
                <w:rFonts w:cs="Arial"/>
                <w:sz w:val="22"/>
                <w:u w:val="single"/>
              </w:rPr>
              <w:t xml:space="preserve">ross RBNS claims </w:t>
            </w:r>
            <w:r w:rsidRPr="002052B2">
              <w:rPr>
                <w:rFonts w:cs="Arial"/>
                <w:sz w:val="22"/>
                <w:u w:val="single"/>
              </w:rPr>
              <w:t>at the reporting reference date.</w:t>
            </w:r>
          </w:p>
        </w:tc>
        <w:tc>
          <w:tcPr>
            <w:tcW w:w="5429" w:type="dxa"/>
          </w:tcPr>
          <w:p w:rsidR="00CF33D7" w:rsidRPr="002052B2" w:rsidRDefault="00EB5FB5" w:rsidP="00373C4D">
            <w:pPr>
              <w:pStyle w:val="Default"/>
              <w:spacing w:after="120"/>
              <w:rPr>
                <w:rFonts w:ascii="Arial" w:hAnsi="Arial" w:cs="Arial"/>
                <w:sz w:val="22"/>
                <w:szCs w:val="22"/>
                <w:u w:val="single"/>
              </w:rPr>
            </w:pPr>
            <w:r>
              <w:rPr>
                <w:rFonts w:ascii="Arial" w:hAnsi="Arial" w:cs="Arial"/>
                <w:sz w:val="22"/>
                <w:szCs w:val="22"/>
                <w:u w:val="single"/>
              </w:rPr>
              <w:t>Undiscounted p</w:t>
            </w:r>
            <w:r w:rsidR="00CF33D7" w:rsidRPr="002052B2">
              <w:rPr>
                <w:rFonts w:ascii="Arial" w:hAnsi="Arial" w:cs="Arial"/>
                <w:sz w:val="22"/>
                <w:szCs w:val="22"/>
                <w:u w:val="single"/>
              </w:rPr>
              <w:t>rovisions for claim events that have been reported but not yet settled (RBNS) at the reference date gross of reinsurance.</w:t>
            </w:r>
          </w:p>
          <w:p w:rsidR="00CF33D7" w:rsidRPr="002052B2" w:rsidRDefault="00CF33D7" w:rsidP="00373C4D">
            <w:pPr>
              <w:spacing w:line="276" w:lineRule="auto"/>
              <w:rPr>
                <w:rFonts w:cs="Arial"/>
                <w:sz w:val="22"/>
                <w:u w:val="single"/>
              </w:rPr>
            </w:pPr>
            <w:r w:rsidRPr="002052B2">
              <w:rPr>
                <w:rFonts w:cs="Arial"/>
                <w:sz w:val="22"/>
                <w:u w:val="single"/>
              </w:rPr>
              <w:t xml:space="preserve">This shall include </w:t>
            </w:r>
            <w:r w:rsidR="00225B21" w:rsidRPr="002052B2">
              <w:rPr>
                <w:rFonts w:cs="Arial"/>
                <w:sz w:val="22"/>
                <w:u w:val="single"/>
              </w:rPr>
              <w:t>‘</w:t>
            </w:r>
            <w:r w:rsidR="00D077DD" w:rsidRPr="002052B2">
              <w:rPr>
                <w:rFonts w:cs="Arial"/>
                <w:sz w:val="22"/>
                <w:u w:val="single"/>
              </w:rPr>
              <w:t xml:space="preserve">allocated loss adjustment </w:t>
            </w:r>
            <w:r w:rsidRPr="002052B2">
              <w:rPr>
                <w:rFonts w:cs="Arial"/>
                <w:sz w:val="22"/>
                <w:u w:val="single"/>
              </w:rPr>
              <w:t>expenses</w:t>
            </w:r>
            <w:r w:rsidR="00225B21" w:rsidRPr="002052B2">
              <w:rPr>
                <w:rFonts w:cs="Arial"/>
                <w:sz w:val="22"/>
                <w:u w:val="single"/>
              </w:rPr>
              <w:t>’</w:t>
            </w:r>
            <w:r w:rsidRPr="002052B2">
              <w:rPr>
                <w:rFonts w:cs="Arial"/>
                <w:sz w:val="22"/>
                <w:u w:val="single"/>
              </w:rPr>
              <w:t>.</w:t>
            </w:r>
          </w:p>
          <w:p w:rsidR="00CF33D7" w:rsidRPr="002052B2" w:rsidRDefault="00CF33D7" w:rsidP="00373C4D">
            <w:pPr>
              <w:spacing w:line="276" w:lineRule="auto"/>
              <w:rPr>
                <w:rFonts w:cs="Arial"/>
                <w:sz w:val="22"/>
                <w:u w:val="single"/>
              </w:rPr>
            </w:pPr>
          </w:p>
          <w:p w:rsidR="00CF33D7" w:rsidRPr="002052B2" w:rsidRDefault="00CF33D7" w:rsidP="00373C4D">
            <w:pPr>
              <w:spacing w:after="120" w:line="276" w:lineRule="auto"/>
              <w:rPr>
                <w:rFonts w:cs="Arial"/>
                <w:sz w:val="22"/>
                <w:u w:val="single"/>
              </w:rPr>
            </w:pPr>
            <w:r w:rsidRPr="002052B2">
              <w:rPr>
                <w:rFonts w:cs="Arial"/>
                <w:sz w:val="22"/>
                <w:u w:val="single"/>
              </w:rPr>
              <w:t>This shall include amounts that some non-life insurance practitioners refer to as “IBNER” (incurred but not enough reported) claims</w:t>
            </w:r>
            <w:r w:rsidR="00272576" w:rsidRPr="002052B2">
              <w:rPr>
                <w:rFonts w:cs="Arial"/>
                <w:sz w:val="22"/>
                <w:u w:val="single"/>
              </w:rPr>
              <w:t>.</w:t>
            </w:r>
            <w:r w:rsidRPr="002052B2">
              <w:rPr>
                <w:rFonts w:cs="Arial"/>
                <w:sz w:val="22"/>
                <w:u w:val="single"/>
              </w:rPr>
              <w:t xml:space="preserve"> ie amounts in the claim provision for the potential for the ultimate settlement cost of a claim reported at the reference date being more than the case reserve held on the firm’s claims management system at the reference date.   </w:t>
            </w:r>
          </w:p>
          <w:p w:rsidR="00CF33D7" w:rsidRPr="002052B2" w:rsidRDefault="00CF33D7" w:rsidP="00373C4D">
            <w:pPr>
              <w:spacing w:after="120" w:line="276" w:lineRule="auto"/>
              <w:rPr>
                <w:rFonts w:cs="Arial"/>
                <w:sz w:val="22"/>
                <w:u w:val="single"/>
              </w:rPr>
            </w:pPr>
            <w:r w:rsidRPr="002052B2">
              <w:rPr>
                <w:rFonts w:cs="Arial"/>
                <w:sz w:val="22"/>
                <w:u w:val="single"/>
              </w:rPr>
              <w:t>This item is to be reported undiscounted.</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C01</w:t>
            </w:r>
            <w:r w:rsidR="00755C4B" w:rsidRPr="002052B2">
              <w:rPr>
                <w:rFonts w:cs="Arial"/>
                <w:sz w:val="22"/>
                <w:u w:val="single"/>
              </w:rPr>
              <w:t>6</w:t>
            </w:r>
            <w:r w:rsidRPr="002052B2">
              <w:rPr>
                <w:rFonts w:cs="Arial"/>
                <w:sz w:val="22"/>
                <w:u w:val="single"/>
              </w:rPr>
              <w:t>0</w:t>
            </w:r>
          </w:p>
        </w:tc>
        <w:tc>
          <w:tcPr>
            <w:tcW w:w="2084" w:type="dxa"/>
          </w:tcPr>
          <w:p w:rsidR="00CF33D7" w:rsidRPr="002052B2" w:rsidRDefault="000B21A5" w:rsidP="00373C4D">
            <w:pPr>
              <w:spacing w:line="276" w:lineRule="auto"/>
              <w:rPr>
                <w:rFonts w:cs="Arial"/>
                <w:sz w:val="22"/>
                <w:u w:val="single"/>
              </w:rPr>
            </w:pPr>
            <w:r w:rsidRPr="002052B2">
              <w:rPr>
                <w:rFonts w:cs="Arial"/>
                <w:sz w:val="22"/>
                <w:u w:val="single"/>
              </w:rPr>
              <w:t>G</w:t>
            </w:r>
            <w:r w:rsidR="00CF33D7" w:rsidRPr="002052B2">
              <w:rPr>
                <w:rFonts w:cs="Arial"/>
                <w:sz w:val="22"/>
                <w:u w:val="single"/>
              </w:rPr>
              <w:t xml:space="preserve">ross </w:t>
            </w:r>
            <w:r w:rsidRPr="002052B2">
              <w:rPr>
                <w:rFonts w:cs="Arial"/>
                <w:sz w:val="22"/>
                <w:u w:val="single"/>
              </w:rPr>
              <w:t xml:space="preserve">incurred but not reported </w:t>
            </w:r>
            <w:r w:rsidR="00CF33D7" w:rsidRPr="002052B2">
              <w:rPr>
                <w:rFonts w:cs="Arial"/>
                <w:sz w:val="22"/>
                <w:u w:val="single"/>
              </w:rPr>
              <w:t xml:space="preserve">claims </w:t>
            </w:r>
            <w:r w:rsidRPr="002052B2">
              <w:rPr>
                <w:rFonts w:cs="Arial"/>
                <w:sz w:val="22"/>
                <w:u w:val="single"/>
              </w:rPr>
              <w:t xml:space="preserve">at the </w:t>
            </w:r>
            <w:r w:rsidR="00CF33D7" w:rsidRPr="002052B2">
              <w:rPr>
                <w:rFonts w:cs="Arial"/>
                <w:sz w:val="22"/>
                <w:u w:val="single"/>
              </w:rPr>
              <w:t>report</w:t>
            </w:r>
            <w:r w:rsidRPr="002052B2">
              <w:rPr>
                <w:rFonts w:cs="Arial"/>
                <w:sz w:val="22"/>
                <w:u w:val="single"/>
              </w:rPr>
              <w:t>ing reference date</w:t>
            </w:r>
          </w:p>
        </w:tc>
        <w:tc>
          <w:tcPr>
            <w:tcW w:w="5429" w:type="dxa"/>
          </w:tcPr>
          <w:p w:rsidR="00CF33D7" w:rsidRPr="002052B2" w:rsidRDefault="00EB5FB5" w:rsidP="00373C4D">
            <w:pPr>
              <w:pStyle w:val="Default"/>
              <w:spacing w:after="120"/>
              <w:rPr>
                <w:rFonts w:ascii="Arial" w:hAnsi="Arial" w:cs="Arial"/>
                <w:sz w:val="22"/>
                <w:szCs w:val="22"/>
                <w:u w:val="single"/>
              </w:rPr>
            </w:pPr>
            <w:r>
              <w:rPr>
                <w:rFonts w:ascii="Arial" w:hAnsi="Arial" w:cs="Arial"/>
                <w:sz w:val="22"/>
                <w:szCs w:val="22"/>
                <w:u w:val="single"/>
              </w:rPr>
              <w:t>Undiscounted p</w:t>
            </w:r>
            <w:r w:rsidR="00CF33D7" w:rsidRPr="002052B2">
              <w:rPr>
                <w:rFonts w:ascii="Arial" w:hAnsi="Arial" w:cs="Arial"/>
                <w:sz w:val="22"/>
                <w:szCs w:val="22"/>
                <w:u w:val="single"/>
              </w:rPr>
              <w:t>rovisions for claim events that occurred prior to or on the reporting reference date and have not yet been reported at the reporting reference date gross of reinsurance.</w:t>
            </w:r>
          </w:p>
          <w:p w:rsidR="00CF33D7" w:rsidRPr="002052B2" w:rsidRDefault="00CF33D7" w:rsidP="00373C4D">
            <w:pPr>
              <w:spacing w:line="276" w:lineRule="auto"/>
              <w:rPr>
                <w:rFonts w:cs="Arial"/>
                <w:sz w:val="22"/>
                <w:u w:val="single"/>
              </w:rPr>
            </w:pPr>
            <w:r w:rsidRPr="002052B2">
              <w:rPr>
                <w:rFonts w:cs="Arial"/>
                <w:sz w:val="22"/>
                <w:u w:val="single"/>
              </w:rPr>
              <w:t xml:space="preserve">This shall include </w:t>
            </w:r>
            <w:r w:rsidR="00225B21" w:rsidRPr="002052B2">
              <w:rPr>
                <w:rFonts w:cs="Arial"/>
                <w:sz w:val="22"/>
                <w:u w:val="single"/>
              </w:rPr>
              <w:t>‘</w:t>
            </w:r>
            <w:r w:rsidR="00D077DD" w:rsidRPr="002052B2">
              <w:rPr>
                <w:rFonts w:cs="Arial"/>
                <w:sz w:val="22"/>
                <w:u w:val="single"/>
              </w:rPr>
              <w:t xml:space="preserve">allocated loss </w:t>
            </w:r>
            <w:r w:rsidR="008B6275" w:rsidRPr="002052B2">
              <w:rPr>
                <w:rFonts w:cs="Arial"/>
                <w:sz w:val="22"/>
                <w:u w:val="single"/>
              </w:rPr>
              <w:t xml:space="preserve">adjustment </w:t>
            </w:r>
            <w:r w:rsidRPr="002052B2">
              <w:rPr>
                <w:rFonts w:cs="Arial"/>
                <w:sz w:val="22"/>
                <w:u w:val="single"/>
              </w:rPr>
              <w:t>expenses</w:t>
            </w:r>
            <w:r w:rsidR="00225B21" w:rsidRPr="002052B2">
              <w:rPr>
                <w:rFonts w:cs="Arial"/>
                <w:sz w:val="22"/>
                <w:u w:val="single"/>
              </w:rPr>
              <w:t>’</w:t>
            </w:r>
            <w:r w:rsidRPr="002052B2">
              <w:rPr>
                <w:rFonts w:cs="Arial"/>
                <w:sz w:val="22"/>
                <w:u w:val="single"/>
              </w:rPr>
              <w:t>.</w:t>
            </w:r>
          </w:p>
          <w:p w:rsidR="00CF33D7" w:rsidRPr="002052B2" w:rsidRDefault="00CF33D7" w:rsidP="00373C4D">
            <w:pPr>
              <w:spacing w:line="276" w:lineRule="auto"/>
              <w:rPr>
                <w:rFonts w:cs="Arial"/>
                <w:sz w:val="22"/>
                <w:u w:val="single"/>
              </w:rPr>
            </w:pPr>
          </w:p>
          <w:p w:rsidR="00CF33D7" w:rsidRPr="002052B2" w:rsidRDefault="00CF33D7" w:rsidP="00373C4D">
            <w:pPr>
              <w:spacing w:after="120" w:line="276" w:lineRule="auto"/>
              <w:rPr>
                <w:rFonts w:cs="Arial"/>
                <w:sz w:val="22"/>
                <w:u w:val="single"/>
              </w:rPr>
            </w:pPr>
            <w:r w:rsidRPr="002052B2">
              <w:rPr>
                <w:rFonts w:cs="Arial"/>
                <w:sz w:val="22"/>
                <w:u w:val="single"/>
              </w:rPr>
              <w:t xml:space="preserve">This item shall not include claims that have been reported at the reference date. </w:t>
            </w:r>
          </w:p>
          <w:p w:rsidR="00CF33D7" w:rsidRPr="002052B2" w:rsidRDefault="00CF33D7" w:rsidP="00373C4D">
            <w:pPr>
              <w:spacing w:after="120" w:line="276" w:lineRule="auto"/>
              <w:rPr>
                <w:rFonts w:cs="Arial"/>
                <w:sz w:val="22"/>
                <w:u w:val="single"/>
              </w:rPr>
            </w:pPr>
            <w:r w:rsidRPr="002052B2">
              <w:rPr>
                <w:rFonts w:cs="Arial"/>
                <w:sz w:val="22"/>
                <w:u w:val="single"/>
              </w:rPr>
              <w:t>This item is to be reported on an undiscounted basis.</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C01</w:t>
            </w:r>
            <w:r w:rsidR="00755C4B" w:rsidRPr="002052B2">
              <w:rPr>
                <w:rFonts w:cs="Arial"/>
                <w:sz w:val="22"/>
                <w:u w:val="single"/>
              </w:rPr>
              <w:t>7</w:t>
            </w:r>
            <w:r w:rsidRPr="002052B2">
              <w:rPr>
                <w:rFonts w:cs="Arial"/>
                <w:sz w:val="22"/>
                <w:u w:val="single"/>
              </w:rPr>
              <w:t>0</w:t>
            </w:r>
          </w:p>
        </w:tc>
        <w:tc>
          <w:tcPr>
            <w:tcW w:w="2084" w:type="dxa"/>
          </w:tcPr>
          <w:p w:rsidR="00CF33D7" w:rsidRPr="002052B2" w:rsidRDefault="000B21A5" w:rsidP="00373C4D">
            <w:pPr>
              <w:spacing w:line="276" w:lineRule="auto"/>
              <w:rPr>
                <w:rFonts w:cs="Arial"/>
                <w:sz w:val="22"/>
                <w:u w:val="single"/>
              </w:rPr>
            </w:pPr>
            <w:r w:rsidRPr="002052B2">
              <w:rPr>
                <w:rFonts w:cs="Arial"/>
                <w:sz w:val="22"/>
                <w:u w:val="single"/>
              </w:rPr>
              <w:t>G</w:t>
            </w:r>
            <w:r w:rsidR="00CF33D7" w:rsidRPr="002052B2">
              <w:rPr>
                <w:rFonts w:cs="Arial"/>
                <w:sz w:val="22"/>
                <w:u w:val="single"/>
              </w:rPr>
              <w:t xml:space="preserve">ross claims </w:t>
            </w:r>
            <w:r w:rsidR="001067D4" w:rsidRPr="002052B2">
              <w:rPr>
                <w:rFonts w:cs="Arial"/>
                <w:sz w:val="22"/>
                <w:u w:val="single"/>
              </w:rPr>
              <w:t>provision</w:t>
            </w:r>
            <w:r w:rsidRPr="002052B2">
              <w:rPr>
                <w:rFonts w:cs="Arial"/>
                <w:sz w:val="22"/>
                <w:u w:val="single"/>
              </w:rPr>
              <w:t xml:space="preserve"> at the reporting reference date.</w:t>
            </w:r>
          </w:p>
        </w:tc>
        <w:tc>
          <w:tcPr>
            <w:tcW w:w="5429" w:type="dxa"/>
          </w:tcPr>
          <w:p w:rsidR="00CF33D7" w:rsidRPr="002052B2" w:rsidRDefault="00EB5FB5" w:rsidP="00373C4D">
            <w:pPr>
              <w:pStyle w:val="Default"/>
              <w:spacing w:after="120"/>
              <w:rPr>
                <w:rFonts w:ascii="Arial" w:hAnsi="Arial" w:cs="Arial"/>
                <w:sz w:val="22"/>
                <w:szCs w:val="22"/>
                <w:u w:val="single"/>
              </w:rPr>
            </w:pPr>
            <w:r>
              <w:rPr>
                <w:rFonts w:ascii="Arial" w:hAnsi="Arial" w:cs="Arial"/>
                <w:sz w:val="22"/>
                <w:szCs w:val="22"/>
                <w:u w:val="single"/>
              </w:rPr>
              <w:t>Undiscounted p</w:t>
            </w:r>
            <w:r w:rsidR="00CF33D7" w:rsidRPr="002052B2">
              <w:rPr>
                <w:rFonts w:ascii="Arial" w:hAnsi="Arial" w:cs="Arial"/>
                <w:sz w:val="22"/>
                <w:szCs w:val="22"/>
                <w:u w:val="single"/>
              </w:rPr>
              <w:t>rovisions for claim events that occurred prior to or on the reporting reference date and have not yet been settled at the reporting reference date gross of reinsurance.</w:t>
            </w:r>
          </w:p>
          <w:p w:rsidR="00CF33D7" w:rsidRPr="002052B2" w:rsidRDefault="00CF33D7" w:rsidP="00373C4D">
            <w:pPr>
              <w:pStyle w:val="Default"/>
              <w:spacing w:after="120"/>
              <w:rPr>
                <w:rFonts w:ascii="Arial" w:hAnsi="Arial" w:cs="Arial"/>
                <w:sz w:val="22"/>
                <w:szCs w:val="22"/>
                <w:u w:val="single"/>
              </w:rPr>
            </w:pPr>
            <w:r w:rsidRPr="002052B2">
              <w:rPr>
                <w:rFonts w:ascii="Arial" w:hAnsi="Arial" w:cs="Arial"/>
                <w:sz w:val="22"/>
                <w:szCs w:val="22"/>
                <w:u w:val="single"/>
              </w:rPr>
              <w:t xml:space="preserve">This shall include </w:t>
            </w:r>
            <w:r w:rsidR="00225B21" w:rsidRPr="002052B2">
              <w:rPr>
                <w:rFonts w:ascii="Arial" w:hAnsi="Arial" w:cs="Arial"/>
                <w:sz w:val="22"/>
                <w:szCs w:val="22"/>
                <w:u w:val="single"/>
              </w:rPr>
              <w:t>‘</w:t>
            </w:r>
            <w:r w:rsidR="008B6275" w:rsidRPr="002052B2">
              <w:rPr>
                <w:rFonts w:ascii="Arial" w:hAnsi="Arial" w:cs="Arial"/>
                <w:sz w:val="22"/>
                <w:szCs w:val="22"/>
                <w:u w:val="single"/>
              </w:rPr>
              <w:t xml:space="preserve">allocated loss adjustment </w:t>
            </w:r>
            <w:r w:rsidRPr="002052B2">
              <w:rPr>
                <w:rFonts w:ascii="Arial" w:hAnsi="Arial" w:cs="Arial"/>
                <w:sz w:val="22"/>
                <w:szCs w:val="22"/>
                <w:u w:val="single"/>
              </w:rPr>
              <w:t>expenses</w:t>
            </w:r>
            <w:r w:rsidR="00225B21" w:rsidRPr="002052B2">
              <w:rPr>
                <w:rFonts w:ascii="Arial" w:hAnsi="Arial" w:cs="Arial"/>
                <w:sz w:val="22"/>
                <w:szCs w:val="22"/>
                <w:u w:val="single"/>
              </w:rPr>
              <w:t>’</w:t>
            </w:r>
            <w:r w:rsidRPr="002052B2">
              <w:rPr>
                <w:rFonts w:ascii="Arial" w:hAnsi="Arial" w:cs="Arial"/>
                <w:sz w:val="22"/>
                <w:szCs w:val="22"/>
                <w:u w:val="single"/>
              </w:rPr>
              <w:t>.</w:t>
            </w:r>
          </w:p>
          <w:p w:rsidR="00CF33D7" w:rsidRPr="002052B2" w:rsidRDefault="00CF33D7" w:rsidP="00373C4D">
            <w:pPr>
              <w:spacing w:after="120" w:line="276" w:lineRule="auto"/>
              <w:rPr>
                <w:rFonts w:cs="Arial"/>
                <w:sz w:val="22"/>
                <w:u w:val="single"/>
              </w:rPr>
            </w:pPr>
            <w:r w:rsidRPr="002052B2">
              <w:rPr>
                <w:rFonts w:cs="Arial"/>
                <w:sz w:val="22"/>
                <w:u w:val="single"/>
              </w:rPr>
              <w:t>This item to be reported on an undiscounted basis and is the sum of the amounts in columns C01</w:t>
            </w:r>
            <w:r w:rsidR="00755C4B" w:rsidRPr="002052B2">
              <w:rPr>
                <w:rFonts w:cs="Arial"/>
                <w:sz w:val="22"/>
                <w:u w:val="single"/>
              </w:rPr>
              <w:t>5</w:t>
            </w:r>
            <w:r w:rsidRPr="002052B2">
              <w:rPr>
                <w:rFonts w:cs="Arial"/>
                <w:sz w:val="22"/>
                <w:u w:val="single"/>
              </w:rPr>
              <w:t>0 and C01</w:t>
            </w:r>
            <w:r w:rsidR="00755C4B" w:rsidRPr="002052B2">
              <w:rPr>
                <w:rFonts w:cs="Arial"/>
                <w:sz w:val="22"/>
                <w:u w:val="single"/>
              </w:rPr>
              <w:t>6</w:t>
            </w:r>
            <w:r w:rsidRPr="002052B2">
              <w:rPr>
                <w:rFonts w:cs="Arial"/>
                <w:sz w:val="22"/>
                <w:u w:val="single"/>
              </w:rPr>
              <w:t>0.</w:t>
            </w:r>
          </w:p>
        </w:tc>
      </w:tr>
      <w:tr w:rsidR="00CF33D7" w:rsidRPr="002052B2" w:rsidTr="00373C4D">
        <w:tc>
          <w:tcPr>
            <w:tcW w:w="1809" w:type="dxa"/>
          </w:tcPr>
          <w:p w:rsidR="00CF33D7" w:rsidRPr="002052B2" w:rsidRDefault="00CF33D7" w:rsidP="00373C4D">
            <w:pPr>
              <w:spacing w:line="276" w:lineRule="auto"/>
              <w:rPr>
                <w:rFonts w:cs="Arial"/>
                <w:sz w:val="22"/>
                <w:u w:val="single"/>
              </w:rPr>
            </w:pPr>
            <w:r w:rsidRPr="002052B2">
              <w:rPr>
                <w:rFonts w:cs="Arial"/>
                <w:sz w:val="22"/>
                <w:u w:val="single"/>
              </w:rPr>
              <w:t>C01</w:t>
            </w:r>
            <w:r w:rsidR="00755C4B" w:rsidRPr="002052B2">
              <w:rPr>
                <w:rFonts w:cs="Arial"/>
                <w:sz w:val="22"/>
                <w:u w:val="single"/>
              </w:rPr>
              <w:t>8</w:t>
            </w:r>
            <w:r w:rsidRPr="002052B2">
              <w:rPr>
                <w:rFonts w:cs="Arial"/>
                <w:sz w:val="22"/>
                <w:u w:val="single"/>
              </w:rPr>
              <w:t>0</w:t>
            </w:r>
          </w:p>
        </w:tc>
        <w:tc>
          <w:tcPr>
            <w:tcW w:w="2084" w:type="dxa"/>
          </w:tcPr>
          <w:p w:rsidR="00CF33D7" w:rsidRPr="002052B2" w:rsidRDefault="001067D4" w:rsidP="00373C4D">
            <w:pPr>
              <w:spacing w:line="276" w:lineRule="auto"/>
              <w:rPr>
                <w:rFonts w:cs="Arial"/>
                <w:sz w:val="22"/>
                <w:u w:val="single"/>
              </w:rPr>
            </w:pPr>
            <w:r w:rsidRPr="002052B2">
              <w:rPr>
                <w:rFonts w:cs="Arial"/>
                <w:sz w:val="22"/>
                <w:u w:val="single"/>
              </w:rPr>
              <w:t>N</w:t>
            </w:r>
            <w:r w:rsidR="00CF33D7" w:rsidRPr="002052B2">
              <w:rPr>
                <w:rFonts w:cs="Arial"/>
                <w:sz w:val="22"/>
                <w:u w:val="single"/>
              </w:rPr>
              <w:t xml:space="preserve">et claims </w:t>
            </w:r>
            <w:r w:rsidRPr="002052B2">
              <w:rPr>
                <w:rFonts w:cs="Arial"/>
                <w:sz w:val="22"/>
                <w:u w:val="single"/>
              </w:rPr>
              <w:t>provision</w:t>
            </w:r>
            <w:r w:rsidR="000B21A5" w:rsidRPr="002052B2">
              <w:rPr>
                <w:rFonts w:cs="Arial"/>
                <w:sz w:val="22"/>
                <w:u w:val="single"/>
              </w:rPr>
              <w:t xml:space="preserve"> at the reporting reference date</w:t>
            </w:r>
          </w:p>
        </w:tc>
        <w:tc>
          <w:tcPr>
            <w:tcW w:w="5429" w:type="dxa"/>
          </w:tcPr>
          <w:p w:rsidR="00CF33D7" w:rsidRPr="002052B2" w:rsidRDefault="008B6275" w:rsidP="00373C4D">
            <w:pPr>
              <w:pStyle w:val="Default"/>
              <w:spacing w:after="120"/>
              <w:rPr>
                <w:rFonts w:ascii="Arial" w:hAnsi="Arial" w:cs="Arial"/>
                <w:sz w:val="22"/>
                <w:szCs w:val="22"/>
                <w:u w:val="single"/>
              </w:rPr>
            </w:pPr>
            <w:r w:rsidRPr="002052B2">
              <w:rPr>
                <w:rFonts w:ascii="Arial" w:hAnsi="Arial" w:cs="Arial"/>
                <w:sz w:val="22"/>
                <w:szCs w:val="22"/>
                <w:u w:val="single"/>
              </w:rPr>
              <w:t>The amount reported in column C0170</w:t>
            </w:r>
            <w:r w:rsidR="00CF33D7" w:rsidRPr="002052B2">
              <w:rPr>
                <w:rFonts w:ascii="Arial" w:hAnsi="Arial" w:cs="Arial"/>
                <w:sz w:val="22"/>
                <w:szCs w:val="22"/>
                <w:u w:val="single"/>
              </w:rPr>
              <w:t>, net of reinsurance that can be directly attributable to individual claims.</w:t>
            </w:r>
          </w:p>
          <w:p w:rsidR="00CF33D7" w:rsidRPr="002052B2" w:rsidRDefault="00CF33D7" w:rsidP="00373C4D">
            <w:pPr>
              <w:pStyle w:val="Default"/>
              <w:spacing w:after="120"/>
              <w:rPr>
                <w:rFonts w:ascii="Arial" w:hAnsi="Arial" w:cs="Arial"/>
                <w:sz w:val="22"/>
                <w:szCs w:val="22"/>
                <w:u w:val="single"/>
              </w:rPr>
            </w:pPr>
            <w:r w:rsidRPr="002052B2">
              <w:rPr>
                <w:rFonts w:ascii="Arial" w:hAnsi="Arial" w:cs="Arial"/>
                <w:sz w:val="22"/>
                <w:szCs w:val="22"/>
                <w:u w:val="single"/>
              </w:rPr>
              <w:t xml:space="preserve">This shall include </w:t>
            </w:r>
            <w:r w:rsidR="00225B21" w:rsidRPr="002052B2">
              <w:rPr>
                <w:rFonts w:ascii="Arial" w:hAnsi="Arial" w:cs="Arial"/>
                <w:sz w:val="22"/>
                <w:szCs w:val="22"/>
                <w:u w:val="single"/>
              </w:rPr>
              <w:t>‘</w:t>
            </w:r>
            <w:r w:rsidR="008B6275" w:rsidRPr="002052B2">
              <w:rPr>
                <w:rFonts w:ascii="Arial" w:hAnsi="Arial" w:cs="Arial"/>
                <w:sz w:val="22"/>
                <w:szCs w:val="22"/>
                <w:u w:val="single"/>
              </w:rPr>
              <w:t xml:space="preserve">allocated loss adjustment </w:t>
            </w:r>
            <w:r w:rsidRPr="002052B2">
              <w:rPr>
                <w:rFonts w:ascii="Arial" w:hAnsi="Arial" w:cs="Arial"/>
                <w:sz w:val="22"/>
                <w:szCs w:val="22"/>
                <w:u w:val="single"/>
              </w:rPr>
              <w:t>expenses</w:t>
            </w:r>
            <w:r w:rsidR="00225B21" w:rsidRPr="002052B2">
              <w:rPr>
                <w:rFonts w:ascii="Arial" w:hAnsi="Arial" w:cs="Arial"/>
                <w:sz w:val="22"/>
                <w:szCs w:val="22"/>
                <w:u w:val="single"/>
              </w:rPr>
              <w:t>’</w:t>
            </w:r>
            <w:r w:rsidRPr="002052B2">
              <w:rPr>
                <w:rFonts w:ascii="Arial" w:hAnsi="Arial" w:cs="Arial"/>
                <w:sz w:val="22"/>
                <w:szCs w:val="22"/>
                <w:u w:val="single"/>
              </w:rPr>
              <w:t>.</w:t>
            </w:r>
          </w:p>
          <w:p w:rsidR="00CF33D7" w:rsidRPr="002052B2" w:rsidRDefault="00CF33D7" w:rsidP="00373C4D">
            <w:pPr>
              <w:spacing w:after="120" w:line="276" w:lineRule="auto"/>
              <w:rPr>
                <w:rFonts w:cs="Arial"/>
                <w:sz w:val="22"/>
                <w:u w:val="single"/>
              </w:rPr>
            </w:pPr>
            <w:r w:rsidRPr="002052B2">
              <w:rPr>
                <w:rFonts w:cs="Arial"/>
                <w:sz w:val="22"/>
                <w:u w:val="single"/>
              </w:rPr>
              <w:t xml:space="preserve">Aggregate deductibles and aggregate limits in outward reinsurance are to be taken into account where applicable on a best efforts basis. </w:t>
            </w:r>
          </w:p>
          <w:p w:rsidR="00CF33D7" w:rsidRPr="002052B2" w:rsidRDefault="00CF33D7" w:rsidP="00373C4D">
            <w:pPr>
              <w:spacing w:after="120" w:line="276" w:lineRule="auto"/>
              <w:rPr>
                <w:rFonts w:cs="Arial"/>
                <w:sz w:val="22"/>
                <w:u w:val="single"/>
              </w:rPr>
            </w:pPr>
            <w:r w:rsidRPr="002052B2">
              <w:rPr>
                <w:rFonts w:cs="Arial"/>
                <w:sz w:val="22"/>
                <w:u w:val="single"/>
              </w:rPr>
              <w:t>This item is to be reported on an undiscounted basis.</w:t>
            </w:r>
          </w:p>
        </w:tc>
      </w:tr>
      <w:tr w:rsidR="001067D4" w:rsidRPr="002052B2" w:rsidTr="00373C4D">
        <w:tc>
          <w:tcPr>
            <w:tcW w:w="1809" w:type="dxa"/>
          </w:tcPr>
          <w:p w:rsidR="001067D4" w:rsidRPr="002052B2" w:rsidRDefault="001067D4" w:rsidP="00373C4D">
            <w:pPr>
              <w:spacing w:line="276" w:lineRule="auto"/>
              <w:rPr>
                <w:rFonts w:cs="Arial"/>
                <w:sz w:val="22"/>
                <w:u w:val="single"/>
              </w:rPr>
            </w:pPr>
            <w:r w:rsidRPr="002052B2">
              <w:rPr>
                <w:rFonts w:cs="Arial"/>
                <w:sz w:val="22"/>
                <w:u w:val="single"/>
              </w:rPr>
              <w:t>C0190</w:t>
            </w:r>
          </w:p>
        </w:tc>
        <w:tc>
          <w:tcPr>
            <w:tcW w:w="2084" w:type="dxa"/>
          </w:tcPr>
          <w:p w:rsidR="001067D4" w:rsidRPr="002052B2" w:rsidRDefault="001067D4" w:rsidP="00373C4D">
            <w:pPr>
              <w:spacing w:line="276" w:lineRule="auto"/>
              <w:rPr>
                <w:rFonts w:cs="Arial"/>
                <w:sz w:val="22"/>
                <w:u w:val="single"/>
              </w:rPr>
            </w:pPr>
            <w:r w:rsidRPr="002052B2">
              <w:rPr>
                <w:rFonts w:cs="Arial"/>
                <w:sz w:val="22"/>
                <w:u w:val="single"/>
              </w:rPr>
              <w:t>Number of RBNS claims</w:t>
            </w:r>
            <w:r w:rsidR="000B21A5" w:rsidRPr="002052B2">
              <w:rPr>
                <w:rFonts w:cs="Arial"/>
                <w:sz w:val="22"/>
                <w:u w:val="single"/>
              </w:rPr>
              <w:t xml:space="preserve"> at the reporting reference date</w:t>
            </w:r>
          </w:p>
        </w:tc>
        <w:tc>
          <w:tcPr>
            <w:tcW w:w="5429" w:type="dxa"/>
          </w:tcPr>
          <w:p w:rsidR="000513C4" w:rsidRPr="002052B2" w:rsidRDefault="000513C4" w:rsidP="000513C4">
            <w:pPr>
              <w:pStyle w:val="Default"/>
              <w:spacing w:after="120"/>
              <w:rPr>
                <w:rFonts w:ascii="Arial" w:hAnsi="Arial" w:cs="Arial"/>
                <w:sz w:val="22"/>
                <w:szCs w:val="22"/>
                <w:u w:val="single"/>
              </w:rPr>
            </w:pPr>
            <w:r w:rsidRPr="002052B2">
              <w:rPr>
                <w:rFonts w:ascii="Arial" w:hAnsi="Arial" w:cs="Arial"/>
                <w:sz w:val="22"/>
                <w:szCs w:val="22"/>
                <w:u w:val="single"/>
              </w:rPr>
              <w:t>Number of claims that have been reported, and are not yet settled, at the reporting reference date.</w:t>
            </w:r>
          </w:p>
        </w:tc>
      </w:tr>
    </w:tbl>
    <w:p w:rsidR="00CF33D7" w:rsidRPr="002052B2" w:rsidRDefault="00CF33D7" w:rsidP="00CF33D7">
      <w:pPr>
        <w:rPr>
          <w:rFonts w:cs="Arial"/>
          <w:sz w:val="22"/>
          <w:u w:val="single"/>
        </w:rPr>
      </w:pPr>
    </w:p>
    <w:sectPr w:rsidR="00CF33D7" w:rsidRPr="002052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A8" w:rsidRDefault="00071BA8" w:rsidP="00755C4B">
      <w:pPr>
        <w:spacing w:line="240" w:lineRule="auto"/>
      </w:pPr>
      <w:r>
        <w:separator/>
      </w:r>
    </w:p>
  </w:endnote>
  <w:endnote w:type="continuationSeparator" w:id="0">
    <w:p w:rsidR="00071BA8" w:rsidRDefault="00071BA8" w:rsidP="0075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694537"/>
      <w:docPartObj>
        <w:docPartGallery w:val="Page Numbers (Bottom of Page)"/>
        <w:docPartUnique/>
      </w:docPartObj>
    </w:sdtPr>
    <w:sdtEndPr/>
    <w:sdtContent>
      <w:sdt>
        <w:sdtPr>
          <w:id w:val="1728636285"/>
          <w:docPartObj>
            <w:docPartGallery w:val="Page Numbers (Top of Page)"/>
            <w:docPartUnique/>
          </w:docPartObj>
        </w:sdtPr>
        <w:sdtEndPr/>
        <w:sdtContent>
          <w:p w:rsidR="00755C4B" w:rsidRDefault="00755C4B">
            <w:pPr>
              <w:pStyle w:val="Footer"/>
              <w:jc w:val="center"/>
            </w:pPr>
            <w:r w:rsidRPr="00755C4B">
              <w:rPr>
                <w:sz w:val="16"/>
                <w:szCs w:val="16"/>
              </w:rPr>
              <w:t xml:space="preserve">Page </w:t>
            </w:r>
            <w:r w:rsidRPr="00755C4B">
              <w:rPr>
                <w:sz w:val="16"/>
                <w:szCs w:val="16"/>
              </w:rPr>
              <w:fldChar w:fldCharType="begin"/>
            </w:r>
            <w:r w:rsidRPr="00755C4B">
              <w:rPr>
                <w:sz w:val="16"/>
                <w:szCs w:val="16"/>
              </w:rPr>
              <w:instrText xml:space="preserve"> PAGE </w:instrText>
            </w:r>
            <w:r w:rsidRPr="00755C4B">
              <w:rPr>
                <w:sz w:val="16"/>
                <w:szCs w:val="16"/>
              </w:rPr>
              <w:fldChar w:fldCharType="separate"/>
            </w:r>
            <w:r w:rsidR="000C32C1">
              <w:rPr>
                <w:noProof/>
                <w:sz w:val="16"/>
                <w:szCs w:val="16"/>
              </w:rPr>
              <w:t>1</w:t>
            </w:r>
            <w:r w:rsidRPr="00755C4B">
              <w:rPr>
                <w:sz w:val="16"/>
                <w:szCs w:val="16"/>
              </w:rPr>
              <w:fldChar w:fldCharType="end"/>
            </w:r>
            <w:r w:rsidRPr="00755C4B">
              <w:rPr>
                <w:sz w:val="16"/>
                <w:szCs w:val="16"/>
              </w:rPr>
              <w:t xml:space="preserve"> of </w:t>
            </w:r>
            <w:r w:rsidRPr="00755C4B">
              <w:rPr>
                <w:sz w:val="16"/>
                <w:szCs w:val="16"/>
              </w:rPr>
              <w:fldChar w:fldCharType="begin"/>
            </w:r>
            <w:r w:rsidRPr="00755C4B">
              <w:rPr>
                <w:sz w:val="16"/>
                <w:szCs w:val="16"/>
              </w:rPr>
              <w:instrText xml:space="preserve"> NUMPAGES  </w:instrText>
            </w:r>
            <w:r w:rsidRPr="00755C4B">
              <w:rPr>
                <w:sz w:val="16"/>
                <w:szCs w:val="16"/>
              </w:rPr>
              <w:fldChar w:fldCharType="separate"/>
            </w:r>
            <w:r w:rsidR="000C32C1">
              <w:rPr>
                <w:noProof/>
                <w:sz w:val="16"/>
                <w:szCs w:val="16"/>
              </w:rPr>
              <w:t>5</w:t>
            </w:r>
            <w:r w:rsidRPr="00755C4B">
              <w:rPr>
                <w:sz w:val="16"/>
                <w:szCs w:val="16"/>
              </w:rPr>
              <w:fldChar w:fldCharType="end"/>
            </w:r>
          </w:p>
        </w:sdtContent>
      </w:sdt>
    </w:sdtContent>
  </w:sdt>
  <w:p w:rsidR="00755C4B" w:rsidRDefault="0075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A8" w:rsidRDefault="00071BA8" w:rsidP="00755C4B">
      <w:pPr>
        <w:spacing w:line="240" w:lineRule="auto"/>
      </w:pPr>
      <w:r>
        <w:separator/>
      </w:r>
    </w:p>
  </w:footnote>
  <w:footnote w:type="continuationSeparator" w:id="0">
    <w:p w:rsidR="00071BA8" w:rsidRDefault="00071BA8" w:rsidP="00755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18" w:rsidRDefault="00C81018" w:rsidP="002052B2">
    <w:pPr>
      <w:pStyle w:val="Header"/>
      <w:tabs>
        <w:tab w:val="left" w:pos="3246"/>
      </w:tabs>
    </w:pPr>
    <w:r>
      <w:rPr>
        <w:noProof/>
      </w:rPr>
      <w:drawing>
        <wp:inline distT="0" distB="0" distL="0" distR="0" wp14:anchorId="735BF68B" wp14:editId="04E766CD">
          <wp:extent cx="3266090" cy="428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48457" cy="491928"/>
                  </a:xfrm>
                  <a:prstGeom prst="rect">
                    <a:avLst/>
                  </a:prstGeom>
                </pic:spPr>
              </pic:pic>
            </a:graphicData>
          </a:graphic>
        </wp:inline>
      </w:drawing>
    </w:r>
    <w:r>
      <w:tab/>
    </w:r>
  </w:p>
  <w:p w:rsidR="0024799D" w:rsidRDefault="0024799D" w:rsidP="002052B2">
    <w:pPr>
      <w:pStyle w:val="Header"/>
      <w:tabs>
        <w:tab w:val="left" w:pos="3246"/>
      </w:tabs>
    </w:pPr>
  </w:p>
  <w:p w:rsidR="0024799D" w:rsidRDefault="0024799D" w:rsidP="002052B2">
    <w:pPr>
      <w:pStyle w:val="Header"/>
      <w:tabs>
        <w:tab w:val="left" w:pos="3246"/>
      </w:tabs>
    </w:pPr>
    <w:r w:rsidRPr="002B0BDE">
      <w:rPr>
        <w:rFonts w:ascii="Century Gothic" w:hAnsi="Century Gothic"/>
        <w:b/>
        <w:color w:val="9194A1"/>
        <w:sz w:val="40"/>
      </w:rPr>
      <w:t>Prudential Regulation Authority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178"/>
    <w:multiLevelType w:val="hybridMultilevel"/>
    <w:tmpl w:val="E82E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63B78"/>
    <w:multiLevelType w:val="hybridMultilevel"/>
    <w:tmpl w:val="461CF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81EED"/>
    <w:multiLevelType w:val="hybridMultilevel"/>
    <w:tmpl w:val="2B861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D0037E"/>
    <w:multiLevelType w:val="hybridMultilevel"/>
    <w:tmpl w:val="679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F2EBB"/>
    <w:multiLevelType w:val="hybridMultilevel"/>
    <w:tmpl w:val="E2E4CB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D7"/>
    <w:rsid w:val="0000700B"/>
    <w:rsid w:val="00044C7C"/>
    <w:rsid w:val="0004735E"/>
    <w:rsid w:val="000513C4"/>
    <w:rsid w:val="00066BA7"/>
    <w:rsid w:val="00071BA8"/>
    <w:rsid w:val="00071C39"/>
    <w:rsid w:val="000B21A5"/>
    <w:rsid w:val="000C32C1"/>
    <w:rsid w:val="000C62B3"/>
    <w:rsid w:val="001067D4"/>
    <w:rsid w:val="00126089"/>
    <w:rsid w:val="001377AF"/>
    <w:rsid w:val="001541B6"/>
    <w:rsid w:val="00183470"/>
    <w:rsid w:val="002052B2"/>
    <w:rsid w:val="00215F5A"/>
    <w:rsid w:val="00225605"/>
    <w:rsid w:val="00225B21"/>
    <w:rsid w:val="00232F77"/>
    <w:rsid w:val="0024799D"/>
    <w:rsid w:val="00272576"/>
    <w:rsid w:val="00285140"/>
    <w:rsid w:val="002A5F49"/>
    <w:rsid w:val="002C0919"/>
    <w:rsid w:val="002D141D"/>
    <w:rsid w:val="002F4E66"/>
    <w:rsid w:val="00353A1D"/>
    <w:rsid w:val="00375BAF"/>
    <w:rsid w:val="003C1225"/>
    <w:rsid w:val="003D2EF6"/>
    <w:rsid w:val="00446BA0"/>
    <w:rsid w:val="004973FA"/>
    <w:rsid w:val="004B69D3"/>
    <w:rsid w:val="00505F74"/>
    <w:rsid w:val="0052569C"/>
    <w:rsid w:val="00550D99"/>
    <w:rsid w:val="00561903"/>
    <w:rsid w:val="005663BE"/>
    <w:rsid w:val="005812CB"/>
    <w:rsid w:val="005903CD"/>
    <w:rsid w:val="005957CF"/>
    <w:rsid w:val="00597318"/>
    <w:rsid w:val="00623767"/>
    <w:rsid w:val="006606DE"/>
    <w:rsid w:val="0067268B"/>
    <w:rsid w:val="00686A7B"/>
    <w:rsid w:val="006C0238"/>
    <w:rsid w:val="00702884"/>
    <w:rsid w:val="00755C4B"/>
    <w:rsid w:val="007D73D6"/>
    <w:rsid w:val="00802E23"/>
    <w:rsid w:val="008102DB"/>
    <w:rsid w:val="00817021"/>
    <w:rsid w:val="0083501A"/>
    <w:rsid w:val="008B6275"/>
    <w:rsid w:val="00933B52"/>
    <w:rsid w:val="00973CB4"/>
    <w:rsid w:val="009868C5"/>
    <w:rsid w:val="00A030E8"/>
    <w:rsid w:val="00AD6995"/>
    <w:rsid w:val="00AF3116"/>
    <w:rsid w:val="00B11216"/>
    <w:rsid w:val="00B81CB7"/>
    <w:rsid w:val="00BB6479"/>
    <w:rsid w:val="00BC329A"/>
    <w:rsid w:val="00BF3ADA"/>
    <w:rsid w:val="00C258A7"/>
    <w:rsid w:val="00C81018"/>
    <w:rsid w:val="00C91988"/>
    <w:rsid w:val="00CC7498"/>
    <w:rsid w:val="00CF07C1"/>
    <w:rsid w:val="00CF33D7"/>
    <w:rsid w:val="00D077DD"/>
    <w:rsid w:val="00DE09CD"/>
    <w:rsid w:val="00EB2312"/>
    <w:rsid w:val="00EB5FB5"/>
    <w:rsid w:val="00FB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C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F33D7"/>
    <w:pPr>
      <w:spacing w:after="0" w:line="360" w:lineRule="auto"/>
    </w:pPr>
    <w:rPr>
      <w:rFonts w:ascii="Arial" w:eastAsiaTheme="minorEastAsia" w:hAnsi="Arial"/>
      <w:sz w:val="20"/>
      <w:lang w:eastAsia="en-GB"/>
    </w:rPr>
  </w:style>
  <w:style w:type="paragraph" w:styleId="Heading1">
    <w:name w:val="heading 1"/>
    <w:basedOn w:val="Normal"/>
    <w:next w:val="Normal"/>
    <w:link w:val="Heading1Char"/>
    <w:uiPriority w:val="9"/>
    <w:qFormat/>
    <w:rsid w:val="00CF33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3D7"/>
    <w:rPr>
      <w:rFonts w:asciiTheme="majorHAnsi" w:eastAsiaTheme="majorEastAsia" w:hAnsiTheme="majorHAnsi" w:cstheme="majorBidi"/>
      <w:color w:val="365F91" w:themeColor="accent1" w:themeShade="BF"/>
      <w:sz w:val="32"/>
      <w:szCs w:val="32"/>
      <w:lang w:eastAsia="en-GB"/>
    </w:rPr>
  </w:style>
  <w:style w:type="paragraph" w:customStyle="1" w:styleId="Default">
    <w:name w:val="Default"/>
    <w:rsid w:val="00CF33D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table" w:styleId="TableGrid">
    <w:name w:val="Table Grid"/>
    <w:basedOn w:val="TableNormal"/>
    <w:uiPriority w:val="59"/>
    <w:rsid w:val="00CF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3D7"/>
    <w:rPr>
      <w:color w:val="0000FF" w:themeColor="hyperlink"/>
      <w:u w:val="single"/>
    </w:rPr>
  </w:style>
  <w:style w:type="paragraph" w:customStyle="1" w:styleId="NormalCentered">
    <w:name w:val="Normal Centered"/>
    <w:basedOn w:val="Normal"/>
    <w:uiPriority w:val="99"/>
    <w:rsid w:val="00CF33D7"/>
    <w:pPr>
      <w:autoSpaceDE w:val="0"/>
      <w:autoSpaceDN w:val="0"/>
      <w:spacing w:before="120" w:after="120" w:line="240" w:lineRule="auto"/>
      <w:jc w:val="center"/>
    </w:pPr>
    <w:rPr>
      <w:rFonts w:ascii="Times New Roman" w:hAnsi="Times New Roman" w:cs="Times New Roman"/>
      <w:sz w:val="24"/>
      <w:szCs w:val="24"/>
      <w:lang w:val="fr-FR"/>
    </w:rPr>
  </w:style>
  <w:style w:type="paragraph" w:styleId="BodyText">
    <w:name w:val="Body Text"/>
    <w:basedOn w:val="Normal"/>
    <w:link w:val="BodyTextChar"/>
    <w:uiPriority w:val="99"/>
    <w:unhideWhenUsed/>
    <w:rsid w:val="00CF33D7"/>
    <w:pPr>
      <w:spacing w:after="120" w:line="276" w:lineRule="auto"/>
    </w:pPr>
    <w:rPr>
      <w:rFonts w:asciiTheme="minorHAnsi" w:eastAsiaTheme="minorHAnsi" w:hAnsiTheme="minorHAnsi"/>
      <w:sz w:val="22"/>
      <w:lang w:eastAsia="en-US"/>
    </w:rPr>
  </w:style>
  <w:style w:type="character" w:customStyle="1" w:styleId="BodyTextChar">
    <w:name w:val="Body Text Char"/>
    <w:basedOn w:val="DefaultParagraphFont"/>
    <w:link w:val="BodyText"/>
    <w:uiPriority w:val="99"/>
    <w:rsid w:val="00CF33D7"/>
  </w:style>
  <w:style w:type="paragraph" w:customStyle="1" w:styleId="tbl-txt">
    <w:name w:val="tbl-txt"/>
    <w:basedOn w:val="Normal"/>
    <w:rsid w:val="00CF33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5C4B"/>
    <w:pPr>
      <w:tabs>
        <w:tab w:val="center" w:pos="4513"/>
        <w:tab w:val="right" w:pos="9026"/>
      </w:tabs>
      <w:spacing w:line="240" w:lineRule="auto"/>
    </w:pPr>
  </w:style>
  <w:style w:type="character" w:customStyle="1" w:styleId="HeaderChar">
    <w:name w:val="Header Char"/>
    <w:basedOn w:val="DefaultParagraphFont"/>
    <w:link w:val="Header"/>
    <w:uiPriority w:val="99"/>
    <w:rsid w:val="00755C4B"/>
    <w:rPr>
      <w:rFonts w:ascii="Arial" w:eastAsiaTheme="minorEastAsia" w:hAnsi="Arial"/>
      <w:sz w:val="20"/>
      <w:lang w:eastAsia="en-GB"/>
    </w:rPr>
  </w:style>
  <w:style w:type="paragraph" w:styleId="Footer">
    <w:name w:val="footer"/>
    <w:basedOn w:val="Normal"/>
    <w:link w:val="FooterChar"/>
    <w:uiPriority w:val="99"/>
    <w:unhideWhenUsed/>
    <w:rsid w:val="00755C4B"/>
    <w:pPr>
      <w:tabs>
        <w:tab w:val="center" w:pos="4513"/>
        <w:tab w:val="right" w:pos="9026"/>
      </w:tabs>
      <w:spacing w:line="240" w:lineRule="auto"/>
    </w:pPr>
  </w:style>
  <w:style w:type="character" w:customStyle="1" w:styleId="FooterChar">
    <w:name w:val="Footer Char"/>
    <w:basedOn w:val="DefaultParagraphFont"/>
    <w:link w:val="Footer"/>
    <w:uiPriority w:val="99"/>
    <w:rsid w:val="00755C4B"/>
    <w:rPr>
      <w:rFonts w:ascii="Arial" w:eastAsiaTheme="minorEastAsia" w:hAnsi="Arial"/>
      <w:sz w:val="20"/>
      <w:lang w:eastAsia="en-GB"/>
    </w:rPr>
  </w:style>
  <w:style w:type="paragraph" w:styleId="ListParagraph">
    <w:name w:val="List Paragraph"/>
    <w:aliases w:val="Dot pt,Colorful List - Accent 11,No Spacing1,List Paragraph Char Char Char,Indicator Text,Numbered Para 1,Bullet 1,F5 List Paragraph,Bullet Points,List Paragraph1,List Paragraph2,List Paragraph12,MAIN CONTENT,Normal numbered,EC"/>
    <w:basedOn w:val="Normal"/>
    <w:link w:val="ListParagraphChar"/>
    <w:uiPriority w:val="34"/>
    <w:qFormat/>
    <w:rsid w:val="00183470"/>
    <w:pPr>
      <w:ind w:left="720"/>
      <w:contextualSpacing/>
    </w:pPr>
  </w:style>
  <w:style w:type="character" w:styleId="CommentReference">
    <w:name w:val="annotation reference"/>
    <w:basedOn w:val="DefaultParagraphFont"/>
    <w:uiPriority w:val="99"/>
    <w:semiHidden/>
    <w:unhideWhenUsed/>
    <w:rsid w:val="004B69D3"/>
    <w:rPr>
      <w:sz w:val="16"/>
      <w:szCs w:val="16"/>
    </w:rPr>
  </w:style>
  <w:style w:type="paragraph" w:styleId="CommentText">
    <w:name w:val="annotation text"/>
    <w:basedOn w:val="Normal"/>
    <w:link w:val="CommentTextChar"/>
    <w:uiPriority w:val="99"/>
    <w:semiHidden/>
    <w:unhideWhenUsed/>
    <w:rsid w:val="004B69D3"/>
    <w:pPr>
      <w:spacing w:line="240" w:lineRule="auto"/>
    </w:pPr>
    <w:rPr>
      <w:szCs w:val="20"/>
    </w:rPr>
  </w:style>
  <w:style w:type="character" w:customStyle="1" w:styleId="CommentTextChar">
    <w:name w:val="Comment Text Char"/>
    <w:basedOn w:val="DefaultParagraphFont"/>
    <w:link w:val="CommentText"/>
    <w:uiPriority w:val="99"/>
    <w:semiHidden/>
    <w:rsid w:val="004B69D3"/>
    <w:rPr>
      <w:rFonts w:ascii="Arial" w:eastAsiaTheme="minorEastAsia" w:hAnsi="Arial"/>
      <w:sz w:val="20"/>
      <w:szCs w:val="20"/>
      <w:lang w:eastAsia="en-GB"/>
    </w:rPr>
  </w:style>
  <w:style w:type="paragraph" w:styleId="CommentSubject">
    <w:name w:val="annotation subject"/>
    <w:basedOn w:val="CommentText"/>
    <w:next w:val="CommentText"/>
    <w:link w:val="CommentSubjectChar"/>
    <w:uiPriority w:val="99"/>
    <w:semiHidden/>
    <w:unhideWhenUsed/>
    <w:rsid w:val="004B69D3"/>
    <w:rPr>
      <w:b/>
      <w:bCs/>
    </w:rPr>
  </w:style>
  <w:style w:type="character" w:customStyle="1" w:styleId="CommentSubjectChar">
    <w:name w:val="Comment Subject Char"/>
    <w:basedOn w:val="CommentTextChar"/>
    <w:link w:val="CommentSubject"/>
    <w:uiPriority w:val="99"/>
    <w:semiHidden/>
    <w:rsid w:val="004B69D3"/>
    <w:rPr>
      <w:rFonts w:ascii="Arial" w:eastAsiaTheme="minorEastAsia" w:hAnsi="Arial"/>
      <w:b/>
      <w:bCs/>
      <w:sz w:val="20"/>
      <w:szCs w:val="20"/>
      <w:lang w:eastAsia="en-GB"/>
    </w:rPr>
  </w:style>
  <w:style w:type="paragraph" w:styleId="BalloonText">
    <w:name w:val="Balloon Text"/>
    <w:basedOn w:val="Normal"/>
    <w:link w:val="BalloonTextChar"/>
    <w:uiPriority w:val="99"/>
    <w:semiHidden/>
    <w:unhideWhenUsed/>
    <w:rsid w:val="004B69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D3"/>
    <w:rPr>
      <w:rFonts w:ascii="Segoe UI" w:eastAsiaTheme="minorEastAsia" w:hAnsi="Segoe UI" w:cs="Segoe UI"/>
      <w:sz w:val="18"/>
      <w:szCs w:val="18"/>
      <w:lang w:eastAsia="en-GB"/>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Bullet Points Char,List Paragraph1 Char,List Paragraph2 Char"/>
    <w:basedOn w:val="DefaultParagraphFont"/>
    <w:link w:val="ListParagraph"/>
    <w:uiPriority w:val="34"/>
    <w:qFormat/>
    <w:locked/>
    <w:rsid w:val="00225B21"/>
    <w:rPr>
      <w:rFonts w:ascii="Arial" w:eastAsiaTheme="minorEastAsia" w:hAnsi="Arial"/>
      <w:sz w:val="20"/>
      <w:lang w:eastAsia="en-GB"/>
    </w:rPr>
  </w:style>
  <w:style w:type="paragraph" w:styleId="Revision">
    <w:name w:val="Revision"/>
    <w:hidden/>
    <w:uiPriority w:val="99"/>
    <w:semiHidden/>
    <w:rsid w:val="005812CB"/>
    <w:pPr>
      <w:spacing w:after="0" w:line="240" w:lineRule="auto"/>
    </w:pPr>
    <w:rPr>
      <w:rFonts w:ascii="Arial" w:eastAsiaTheme="minorEastAsia" w:hAnsi="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arulebook.co.uk/rulebook/Glossary/FullDefinition/77310/23-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Cobbin, Jon</dc:creator>
  <cp:keywords/>
  <dc:description/>
  <cp:lastModifiedBy/>
  <cp:revision>1</cp:revision>
  <dcterms:created xsi:type="dcterms:W3CDTF">2022-10-31T13:53:00Z</dcterms:created>
  <dcterms:modified xsi:type="dcterms:W3CDTF">2022-10-31T13:53:00Z</dcterms:modified>
</cp:coreProperties>
</file>